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i w:val="0"/>
          <w:color w:val="000000"/>
          <w:kern w:val="0"/>
          <w:sz w:val="24"/>
          <w:szCs w:val="24"/>
          <w:u w:val="none"/>
          <w:lang w:val="en-US" w:eastAsia="zh-CN" w:bidi="ar-SA"/>
        </w:rPr>
      </w:pPr>
      <w:r>
        <w:rPr>
          <w:rFonts w:hint="eastAsia" w:ascii="黑体" w:hAnsi="黑体" w:eastAsia="黑体" w:cs="黑体"/>
          <w:i w:val="0"/>
          <w:color w:val="000000"/>
          <w:kern w:val="0"/>
          <w:sz w:val="44"/>
          <w:szCs w:val="44"/>
          <w:u w:val="none"/>
          <w:lang w:val="en-US" w:eastAsia="zh-CN" w:bidi="ar-SA"/>
        </w:rPr>
        <w:t>广州市国资委</w:t>
      </w:r>
      <w:r>
        <w:rPr>
          <w:rFonts w:hint="eastAsia" w:ascii="黑体" w:hAnsi="黑体" w:eastAsia="黑体" w:cs="黑体"/>
          <w:i w:val="0"/>
          <w:color w:val="000000"/>
          <w:kern w:val="0"/>
          <w:sz w:val="44"/>
          <w:szCs w:val="44"/>
          <w:highlight w:val="none"/>
          <w:u w:val="none"/>
          <w:lang w:val="en-US" w:eastAsia="zh-CN" w:bidi="ar-SA"/>
        </w:rPr>
        <w:t>权责</w:t>
      </w:r>
      <w:r>
        <w:rPr>
          <w:rFonts w:hint="eastAsia" w:ascii="黑体" w:hAnsi="黑体" w:eastAsia="黑体" w:cs="黑体"/>
          <w:i w:val="0"/>
          <w:color w:val="000000"/>
          <w:kern w:val="0"/>
          <w:sz w:val="44"/>
          <w:szCs w:val="44"/>
          <w:u w:val="none"/>
          <w:lang w:val="en-US" w:eastAsia="zh-CN" w:bidi="ar-SA"/>
        </w:rPr>
        <w:t>事项清单</w:t>
      </w:r>
    </w:p>
    <w:p>
      <w:pPr>
        <w:jc w:val="center"/>
        <w:rPr>
          <w:rFonts w:hint="eastAsia" w:ascii="仿宋" w:hAnsi="仿宋" w:eastAsia="仿宋" w:cs="仿宋"/>
          <w:b/>
          <w:i w:val="0"/>
          <w:color w:val="000000"/>
          <w:kern w:val="0"/>
          <w:sz w:val="32"/>
          <w:szCs w:val="32"/>
          <w:u w:val="none"/>
          <w:lang w:val="en-US" w:eastAsia="zh-CN" w:bidi="ar-SA"/>
        </w:rPr>
      </w:pPr>
      <w:r>
        <w:rPr>
          <w:rFonts w:hint="eastAsia" w:ascii="仿宋" w:hAnsi="仿宋" w:eastAsia="仿宋" w:cs="仿宋"/>
          <w:b/>
          <w:i w:val="0"/>
          <w:color w:val="000000"/>
          <w:kern w:val="0"/>
          <w:sz w:val="32"/>
          <w:szCs w:val="32"/>
          <w:u w:val="none"/>
          <w:lang w:val="en-US" w:eastAsia="zh-CN" w:bidi="ar-SA"/>
        </w:rPr>
        <w:t>（审核、核准、备案事项）</w:t>
      </w:r>
    </w:p>
    <w:tbl>
      <w:tblPr>
        <w:tblStyle w:val="3"/>
        <w:tblW w:w="88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78"/>
        <w:gridCol w:w="1415"/>
        <w:gridCol w:w="1516"/>
        <w:gridCol w:w="1921"/>
        <w:gridCol w:w="2128"/>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SA"/>
              </w:rPr>
              <w:t>序号</w:t>
            </w: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SA"/>
              </w:rPr>
              <w:t>监管事项</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b/>
                <w:i w:val="0"/>
                <w:color w:val="000000"/>
                <w:kern w:val="0"/>
                <w:sz w:val="24"/>
                <w:szCs w:val="24"/>
                <w:u w:val="none"/>
                <w:lang w:val="en-US" w:eastAsia="zh-CN" w:bidi="ar-SA"/>
              </w:rPr>
            </w:pPr>
            <w:r>
              <w:rPr>
                <w:rFonts w:hint="eastAsia" w:ascii="仿宋_GB2312" w:hAnsi="仿宋_GB2312" w:eastAsia="仿宋_GB2312" w:cs="仿宋_GB2312"/>
                <w:b/>
                <w:i w:val="0"/>
                <w:color w:val="000000"/>
                <w:kern w:val="0"/>
                <w:sz w:val="24"/>
                <w:szCs w:val="24"/>
                <w:u w:val="none"/>
                <w:lang w:val="en-US" w:eastAsia="zh-CN" w:bidi="ar-SA"/>
              </w:rPr>
              <w:t>实施依据</w:t>
            </w: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SA"/>
              </w:rPr>
              <w:t>子项</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SA"/>
              </w:rPr>
              <w:t>适用范围</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SA"/>
              </w:rPr>
              <w:t>主办处室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审核监管企业主业、战略规划</w:t>
            </w:r>
          </w:p>
        </w:tc>
        <w:tc>
          <w:tcPr>
            <w:tcW w:w="1516" w:type="dxa"/>
            <w:vMerge w:val="restart"/>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sz w:val="24"/>
              </w:rPr>
              <w:t>《企业国有资产监督管理暂行条例》</w:t>
            </w:r>
            <w:r>
              <w:rPr>
                <w:rFonts w:hint="eastAsia" w:ascii="仿宋_GB2312" w:hAnsi="仿宋_GB2312" w:eastAsia="仿宋_GB2312" w:cs="仿宋_GB2312"/>
                <w:color w:val="auto"/>
                <w:sz w:val="24"/>
              </w:rPr>
              <w:t>第三十一条</w:t>
            </w: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（1）审核监管企业主业</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监管企业中的国有独资企业、全资公司</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规划发展处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65"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color w:val="000000"/>
                <w:sz w:val="24"/>
                <w:szCs w:val="24"/>
                <w:u w:val="none"/>
              </w:rPr>
            </w:pPr>
          </w:p>
        </w:tc>
        <w:tc>
          <w:tcPr>
            <w:tcW w:w="1516" w:type="dxa"/>
            <w:vMerge w:val="continue"/>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（2）监管企业战略规划备案</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监管企业</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规划发展处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05"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2</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审核监管企业合并、分立、解散、申请破产和改制</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color w:val="auto"/>
                <w:sz w:val="24"/>
              </w:rPr>
              <w:t>《中华人民共和国企业国有资产法》第三十一条、第三十四条</w:t>
            </w: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（3）审核监管企业合并、分立、解散、申请破产</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监管企业，其中对国有控股公司依法履行国有股东职权</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企业改革处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68"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color w:val="auto"/>
                <w:sz w:val="24"/>
              </w:rPr>
              <w:t>《中华人民共和国企业国有资产法》（2008年）第四十条</w:t>
            </w: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（4）审核监管企业改制</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监管企业，其中对国有控股公司依法履行国有股东职权</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企业改革处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92"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3</w:t>
            </w: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 xml:space="preserve">审核监管企业重要子企业引入非国有资本导致国有控股性质改变的改制 </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color w:val="auto"/>
                <w:sz w:val="24"/>
              </w:rPr>
              <w:t>《中华人民共和国企业国有资产法》（2008年）第三十一条、第三十四条、第四十条</w:t>
            </w: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 xml:space="preserve">（5）审核监管企业重要子企业引入非国有资本导致国有控股性质改变的改制 </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监管企业中的重要子企业</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企业改革处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4</w:t>
            </w: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审核监管企业利润分配和国有资本收益收缴</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color w:val="auto"/>
                <w:sz w:val="24"/>
              </w:rPr>
              <w:t>《中华人民共和国企业国有资产法》第十二条、第三十条、第三十一条</w:t>
            </w: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SA"/>
              </w:rPr>
              <w:t>（6）审核监管企业利润分配和国有资本收益收缴</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SA"/>
              </w:rPr>
              <w:t>监管企业及市国资委直接持股企业，其中对国有控股公司依法履行国有股东职权</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资本运营与收益管理处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80"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审核监管企业年度全面预算方案</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color w:val="auto"/>
                <w:sz w:val="24"/>
              </w:rPr>
              <w:t>《中华人民共和国公司法》第三十七条</w:t>
            </w: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（7）审核监管企业年度全面预算方案</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监管企业，其中对国有控股公司依法履行国有股东职权</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财务监管与经济运行处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72"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6</w:t>
            </w: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审核监管企业限额以上的对外捐赠</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《中华人民共和国企业国有资产法》第三十条</w:t>
            </w: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（8）审核监管企业限额以上的对外捐赠</w:t>
            </w: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监管企业及各级子企业</w:t>
            </w: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资本运营与收益管理处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35" w:hRule="atLeast"/>
        </w:trPr>
        <w:tc>
          <w:tcPr>
            <w:tcW w:w="578"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7</w:t>
            </w:r>
          </w:p>
        </w:tc>
        <w:tc>
          <w:tcPr>
            <w:tcW w:w="1415" w:type="dxa"/>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审核监管企业公司章程</w:t>
            </w:r>
          </w:p>
        </w:tc>
        <w:tc>
          <w:tcPr>
            <w:tcW w:w="1516" w:type="dxa"/>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color w:val="auto"/>
                <w:sz w:val="24"/>
              </w:rPr>
              <w:t>《中华人民共和国公司法》第三十七条</w:t>
            </w:r>
          </w:p>
        </w:tc>
        <w:tc>
          <w:tcPr>
            <w:tcW w:w="1921" w:type="dxa"/>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（9）审核监管企业公司章程</w:t>
            </w:r>
          </w:p>
        </w:tc>
        <w:tc>
          <w:tcPr>
            <w:tcW w:w="2128" w:type="dxa"/>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监管企业，其中对国有控股公司依法履行国有股东职权</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政策法规处（董事会工作处）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0"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8</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审核国有控股上市公司股权激励计划和非上市监管企业中长期激励计划</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color w:val="auto"/>
                <w:sz w:val="24"/>
              </w:rPr>
              <w:t>《上市公司股权激励管理办法》（证监会令第126号）第三十三条</w:t>
            </w: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（10）审核国有控股上市公司股权激励计划</w:t>
            </w:r>
          </w:p>
        </w:tc>
        <w:tc>
          <w:tcPr>
            <w:tcW w:w="2128" w:type="dxa"/>
            <w:tcBorders>
              <w:top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监管企业及各级子企业中的国有控股上市公司</w:t>
            </w:r>
          </w:p>
        </w:tc>
        <w:tc>
          <w:tcPr>
            <w:tcW w:w="1260" w:type="dxa"/>
            <w:tcBorders>
              <w:top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考核分配处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07"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color w:val="auto"/>
                <w:sz w:val="24"/>
              </w:rPr>
              <w:t>《企业国有资产监督管理暂行条例》第十六条</w:t>
            </w: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（11）</w:t>
            </w:r>
            <w:r>
              <w:rPr>
                <w:rFonts w:hint="eastAsia" w:ascii="仿宋_GB2312" w:hAnsi="仿宋_GB2312" w:eastAsia="仿宋_GB2312" w:cs="仿宋_GB2312"/>
                <w:b w:val="0"/>
                <w:bCs/>
                <w:color w:val="auto"/>
                <w:sz w:val="24"/>
                <w:lang w:val="en-US" w:eastAsia="zh-CN"/>
              </w:rPr>
              <w:t>审核直接监管的国有科技型企业股权和分红激励方案</w:t>
            </w:r>
          </w:p>
        </w:tc>
        <w:tc>
          <w:tcPr>
            <w:tcW w:w="2128" w:type="dxa"/>
            <w:tcBorders>
              <w:top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直接监管的国有科技型企业</w:t>
            </w:r>
          </w:p>
        </w:tc>
        <w:tc>
          <w:tcPr>
            <w:tcW w:w="1260" w:type="dxa"/>
            <w:tcBorders>
              <w:top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考核分配处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6"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9</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SA"/>
              </w:rPr>
              <w:t>审核所监管企业负责人年度和任期经营业绩考核与薪酬分配重大事项</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highlight w:val="none"/>
                <w:u w:val="none"/>
                <w:lang w:val="en-US" w:eastAsia="zh-CN" w:bidi="ar-SA"/>
              </w:rPr>
            </w:pPr>
            <w:r>
              <w:rPr>
                <w:rFonts w:hint="eastAsia" w:ascii="仿宋_GB2312" w:hAnsi="仿宋_GB2312" w:eastAsia="仿宋_GB2312" w:cs="仿宋_GB2312"/>
                <w:color w:val="auto"/>
                <w:sz w:val="24"/>
                <w:highlight w:val="none"/>
              </w:rPr>
              <w:t>《中华人民共和国企业国有资产法》</w:t>
            </w:r>
            <w:r>
              <w:rPr>
                <w:rFonts w:hint="eastAsia" w:ascii="仿宋_GB2312" w:hAnsi="仿宋_GB2312" w:eastAsia="仿宋_GB2312" w:cs="仿宋_GB2312"/>
                <w:color w:val="auto"/>
                <w:sz w:val="24"/>
                <w:szCs w:val="24"/>
                <w:highlight w:val="none"/>
                <w:lang w:val="en-US" w:eastAsia="zh-CN"/>
              </w:rPr>
              <w:t>第二十七条、第二十九条</w:t>
            </w: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SA"/>
              </w:rPr>
              <w:t>（12）核定企业法定代表人的年度经营业绩考核结果及薪酬标准</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SA"/>
              </w:rPr>
              <w:t>监管企业</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考核分配处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2"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highlight w:val="none"/>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highlight w:val="none"/>
                <w:u w:val="none"/>
                <w:lang w:val="en-US" w:eastAsia="zh-CN" w:bidi="ar-SA"/>
              </w:rPr>
            </w:pPr>
          </w:p>
        </w:tc>
        <w:tc>
          <w:tcPr>
            <w:tcW w:w="1516" w:type="dxa"/>
            <w:vMerge w:val="continue"/>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highlight w:val="none"/>
                <w:u w:val="none"/>
                <w:lang w:val="en-US" w:eastAsia="zh-CN" w:bidi="ar-SA"/>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SA"/>
              </w:rPr>
              <w:t>（13）核定企业法定代表人的任期经营业绩考核结果及任期激励收入</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SA"/>
              </w:rPr>
              <w:t>监管企业</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考核分配处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46" w:hRule="atLeast"/>
        </w:trPr>
        <w:tc>
          <w:tcPr>
            <w:tcW w:w="578"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highlight w:val="none"/>
                <w:u w:val="none"/>
              </w:rPr>
            </w:pPr>
          </w:p>
        </w:tc>
        <w:tc>
          <w:tcPr>
            <w:tcW w:w="1415" w:type="dxa"/>
            <w:vMerge w:val="continue"/>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highlight w:val="none"/>
                <w:u w:val="none"/>
                <w:lang w:val="en-US" w:eastAsia="zh-CN" w:bidi="ar-SA"/>
              </w:rPr>
            </w:pPr>
          </w:p>
        </w:tc>
        <w:tc>
          <w:tcPr>
            <w:tcW w:w="1516" w:type="dxa"/>
            <w:vMerge w:val="continue"/>
            <w:tcBorders>
              <w:left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highlight w:val="none"/>
                <w:u w:val="none"/>
                <w:lang w:val="en-US" w:eastAsia="zh-CN" w:bidi="ar-SA"/>
              </w:rPr>
            </w:pPr>
          </w:p>
        </w:tc>
        <w:tc>
          <w:tcPr>
            <w:tcW w:w="1921"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SA"/>
              </w:rPr>
              <w:t>（14）企业法定代表人以外其他由组织任命管理的企业负责人年度经营业绩考核结果及薪酬分配方案备案</w:t>
            </w:r>
          </w:p>
        </w:tc>
        <w:tc>
          <w:tcPr>
            <w:tcW w:w="2128" w:type="dxa"/>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SA"/>
              </w:rPr>
              <w:t>监管企业</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考核分配处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50" w:hRule="atLeast"/>
        </w:trPr>
        <w:tc>
          <w:tcPr>
            <w:tcW w:w="578"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highlight w:val="none"/>
                <w:u w:val="none"/>
              </w:rPr>
            </w:pPr>
          </w:p>
        </w:tc>
        <w:tc>
          <w:tcPr>
            <w:tcW w:w="1415" w:type="dxa"/>
            <w:vMerge w:val="continue"/>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highlight w:val="none"/>
                <w:u w:val="none"/>
                <w:lang w:val="en-US" w:eastAsia="zh-CN" w:bidi="ar-SA"/>
              </w:rPr>
            </w:pPr>
          </w:p>
        </w:tc>
        <w:tc>
          <w:tcPr>
            <w:tcW w:w="1516" w:type="dxa"/>
            <w:vMerge w:val="continue"/>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highlight w:val="none"/>
                <w:u w:val="none"/>
                <w:lang w:val="en-US" w:eastAsia="zh-CN" w:bidi="ar-SA"/>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SA"/>
              </w:rPr>
              <w:t>（15）企业法定代表人以外其他由组织任命管理的企业负责人任期经营业绩考核结果及任期激励收入分配结果备案</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SA"/>
              </w:rPr>
              <w:t>监管企业</w:t>
            </w:r>
          </w:p>
        </w:tc>
        <w:tc>
          <w:tcPr>
            <w:tcW w:w="1260"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考核分配处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07" w:hRule="atLeast"/>
        </w:trPr>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i w:val="0"/>
                <w:color w:val="000000"/>
                <w:sz w:val="24"/>
                <w:szCs w:val="24"/>
                <w:highlight w:val="none"/>
                <w:u w:val="none"/>
              </w:rPr>
            </w:pPr>
            <w:r>
              <w:rPr>
                <w:rFonts w:hint="eastAsia" w:ascii="仿宋_GB2312" w:hAnsi="仿宋_GB2312" w:eastAsia="仿宋_GB2312" w:cs="仿宋_GB2312"/>
                <w:i w:val="0"/>
                <w:color w:val="000000"/>
                <w:kern w:val="0"/>
                <w:sz w:val="24"/>
                <w:szCs w:val="24"/>
                <w:highlight w:val="none"/>
                <w:u w:val="none"/>
                <w:lang w:val="en-US" w:eastAsia="zh-CN" w:bidi="ar-SA"/>
              </w:rPr>
              <w:t>10</w:t>
            </w: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SA"/>
              </w:rPr>
              <w:t>企业工资总额预算及决算情况备案或核准</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rPr>
              <w:t>《企业国有资产监督管理暂行条例》</w:t>
            </w:r>
            <w:r>
              <w:rPr>
                <w:rFonts w:hint="eastAsia" w:ascii="仿宋_GB2312" w:hAnsi="仿宋_GB2312" w:eastAsia="仿宋_GB2312" w:cs="仿宋_GB2312"/>
                <w:color w:val="auto"/>
                <w:sz w:val="24"/>
                <w:szCs w:val="24"/>
                <w:lang w:val="en-US" w:eastAsia="zh-CN"/>
              </w:rPr>
              <w:t>第二十六条</w:t>
            </w: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SA"/>
              </w:rPr>
              <w:t>（16）监管企业工资总额预算及决算情况备案或核准</w:t>
            </w:r>
          </w:p>
        </w:tc>
        <w:tc>
          <w:tcPr>
            <w:tcW w:w="2128"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SA"/>
              </w:rPr>
              <w:t>监管企业</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考核分配处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2" w:hRule="atLeast"/>
        </w:trPr>
        <w:tc>
          <w:tcPr>
            <w:tcW w:w="578" w:type="dxa"/>
            <w:tcBorders>
              <w:top w:val="single" w:color="000000" w:sz="4" w:space="0"/>
              <w:left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11</w:t>
            </w:r>
          </w:p>
        </w:tc>
        <w:tc>
          <w:tcPr>
            <w:tcW w:w="1415" w:type="dxa"/>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委派和管理外部董事</w:t>
            </w:r>
          </w:p>
        </w:tc>
        <w:tc>
          <w:tcPr>
            <w:tcW w:w="1516" w:type="dxa"/>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color w:val="auto"/>
                <w:sz w:val="24"/>
              </w:rPr>
              <w:t>《中华人民共和国企业国有资产法》第二十二条</w:t>
            </w:r>
          </w:p>
        </w:tc>
        <w:tc>
          <w:tcPr>
            <w:tcW w:w="1921" w:type="dxa"/>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（17）任免监管企业外部董事</w:t>
            </w:r>
          </w:p>
        </w:tc>
        <w:tc>
          <w:tcPr>
            <w:tcW w:w="2128" w:type="dxa"/>
            <w:tcBorders>
              <w:top w:val="single" w:color="000000" w:sz="4" w:space="0"/>
              <w:left w:val="single" w:color="000000" w:sz="4" w:space="0"/>
              <w:right w:val="single" w:color="auto"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监管企业中的国有独资企业、全资公司</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企业领导人员管理处、会政策法规处（董事会工作处）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1" w:hRule="atLeast"/>
        </w:trPr>
        <w:tc>
          <w:tcPr>
            <w:tcW w:w="578" w:type="dxa"/>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12</w:t>
            </w: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审核监管企业国有产权转让，以及需要市国资委批准的企业国有产权非公开协议转让、非公开协议企业增资（对金融企业另有规定的，从其规定）</w:t>
            </w: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516"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《企业国有资产交易监督管理办法》（国务院国有资产监督管理委员会、财政部令第32号）第七条、第八条、第三十一条、第三十四条、第三十五条、第四十五条</w:t>
            </w:r>
          </w:p>
        </w:tc>
        <w:tc>
          <w:tcPr>
            <w:tcW w:w="1921"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（18）审核监管企业的国有产权转让行为</w:t>
            </w:r>
          </w:p>
        </w:tc>
        <w:tc>
          <w:tcPr>
            <w:tcW w:w="2128"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监管企业，其中对国有控股公司依法履行国有股东职权</w:t>
            </w:r>
          </w:p>
        </w:tc>
        <w:tc>
          <w:tcPr>
            <w:tcW w:w="126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产权管理处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7" w:hRule="atLeast"/>
        </w:trPr>
        <w:tc>
          <w:tcPr>
            <w:tcW w:w="578" w:type="dxa"/>
            <w:vMerge w:val="continue"/>
            <w:tcBorders>
              <w:top w:val="single" w:color="000000" w:sz="4" w:space="0"/>
              <w:left w:val="single" w:color="000000" w:sz="4" w:space="0"/>
              <w:bottom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（19）</w:t>
            </w:r>
            <w:r>
              <w:rPr>
                <w:rFonts w:hint="eastAsia" w:ascii="仿宋_GB2312" w:hAnsi="仿宋_GB2312" w:eastAsia="仿宋_GB2312" w:cs="仿宋_GB2312"/>
                <w:i w:val="0"/>
                <w:color w:val="000000"/>
                <w:kern w:val="0"/>
                <w:sz w:val="24"/>
                <w:szCs w:val="24"/>
                <w:highlight w:val="none"/>
                <w:u w:val="none"/>
                <w:lang w:val="en-US" w:eastAsia="zh-CN" w:bidi="ar-SA"/>
              </w:rPr>
              <w:t>审核监管企业中主业处于关系国家安全、国民经济命脉的重要行业和关键领域，主要承担重大专项</w:t>
            </w:r>
            <w:r>
              <w:rPr>
                <w:rFonts w:hint="eastAsia" w:ascii="仿宋_GB2312" w:hAnsi="仿宋_GB2312" w:eastAsia="仿宋_GB2312" w:cs="仿宋_GB2312"/>
                <w:i w:val="0"/>
                <w:color w:val="000000"/>
                <w:kern w:val="0"/>
                <w:sz w:val="24"/>
                <w:szCs w:val="24"/>
                <w:u w:val="none"/>
                <w:lang w:val="en-US" w:eastAsia="zh-CN" w:bidi="ar-SA"/>
              </w:rPr>
              <w:t>任务的子企业的国有产权转让</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监管企业中</w:t>
            </w:r>
            <w:r>
              <w:rPr>
                <w:rFonts w:hint="eastAsia" w:ascii="仿宋_GB2312" w:hAnsi="仿宋_GB2312" w:eastAsia="仿宋_GB2312" w:cs="仿宋_GB2312"/>
                <w:i w:val="0"/>
                <w:color w:val="000000"/>
                <w:kern w:val="0"/>
                <w:sz w:val="24"/>
                <w:szCs w:val="24"/>
                <w:highlight w:val="none"/>
                <w:u w:val="none"/>
                <w:lang w:val="en-US" w:eastAsia="zh-CN" w:bidi="ar-SA"/>
              </w:rPr>
              <w:t>主业处于关系国家安全、国民经济命脉的重要行业和关键领域，主要</w:t>
            </w:r>
            <w:r>
              <w:rPr>
                <w:rFonts w:hint="eastAsia" w:ascii="仿宋_GB2312" w:hAnsi="仿宋_GB2312" w:eastAsia="仿宋_GB2312" w:cs="仿宋_GB2312"/>
                <w:i w:val="0"/>
                <w:color w:val="000000"/>
                <w:kern w:val="0"/>
                <w:sz w:val="24"/>
                <w:szCs w:val="24"/>
                <w:u w:val="none"/>
                <w:lang w:val="en-US" w:eastAsia="zh-CN" w:bidi="ar-SA"/>
              </w:rPr>
              <w:t>承担重大专项任务的子企业</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产权管理处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00" w:hRule="atLeast"/>
        </w:trPr>
        <w:tc>
          <w:tcPr>
            <w:tcW w:w="578" w:type="dxa"/>
            <w:vMerge w:val="continue"/>
            <w:tcBorders>
              <w:top w:val="single" w:color="000000" w:sz="4" w:space="0"/>
              <w:left w:val="single" w:color="000000" w:sz="4" w:space="0"/>
              <w:bottom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（20）审核在非同一监管企业的国有及国有控股企业之间非公开协议转让企业产权</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监管企业及各级国有及国有控股子企业</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产权管理处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92" w:hRule="atLeast"/>
        </w:trPr>
        <w:tc>
          <w:tcPr>
            <w:tcW w:w="578" w:type="dxa"/>
            <w:vMerge w:val="continue"/>
            <w:tcBorders>
              <w:top w:val="single" w:color="000000" w:sz="4" w:space="0"/>
              <w:left w:val="single" w:color="000000" w:sz="4" w:space="0"/>
              <w:bottom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516" w:type="dxa"/>
            <w:vMerge w:val="continue"/>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（21）审核监管企业的增资行为</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监管企业，其中对国有控股公司依法履行国有股东职权</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产权管理处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65" w:hRule="atLeast"/>
        </w:trPr>
        <w:tc>
          <w:tcPr>
            <w:tcW w:w="578" w:type="dxa"/>
            <w:vMerge w:val="continue"/>
            <w:tcBorders>
              <w:top w:val="single" w:color="000000" w:sz="4" w:space="0"/>
              <w:left w:val="single" w:color="000000" w:sz="4" w:space="0"/>
              <w:bottom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516" w:type="dxa"/>
            <w:vMerge w:val="continue"/>
            <w:tcBorders>
              <w:left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（22）审核监管企</w:t>
            </w:r>
            <w:r>
              <w:rPr>
                <w:rFonts w:hint="eastAsia" w:ascii="仿宋_GB2312" w:hAnsi="仿宋_GB2312" w:eastAsia="仿宋_GB2312" w:cs="仿宋_GB2312"/>
                <w:i w:val="0"/>
                <w:color w:val="000000"/>
                <w:kern w:val="0"/>
                <w:sz w:val="24"/>
                <w:szCs w:val="24"/>
                <w:highlight w:val="none"/>
                <w:u w:val="none"/>
                <w:lang w:val="en-US" w:eastAsia="zh-CN" w:bidi="ar-SA"/>
              </w:rPr>
              <w:t>业中主业处于关系国家安全、国民经济命脉的重要行业和关键领域，主要承担重大专项任务的子企业的</w:t>
            </w:r>
            <w:r>
              <w:rPr>
                <w:rFonts w:hint="eastAsia" w:ascii="仿宋_GB2312" w:hAnsi="仿宋_GB2312" w:eastAsia="仿宋_GB2312" w:cs="仿宋_GB2312"/>
                <w:i w:val="0"/>
                <w:color w:val="000000"/>
                <w:kern w:val="0"/>
                <w:sz w:val="24"/>
                <w:szCs w:val="24"/>
                <w:u w:val="none"/>
                <w:lang w:val="en-US" w:eastAsia="zh-CN" w:bidi="ar-SA"/>
              </w:rPr>
              <w:t>增资行为</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监管企业中</w:t>
            </w:r>
            <w:r>
              <w:rPr>
                <w:rFonts w:hint="eastAsia" w:ascii="仿宋_GB2312" w:hAnsi="仿宋_GB2312" w:eastAsia="仿宋_GB2312" w:cs="仿宋_GB2312"/>
                <w:i w:val="0"/>
                <w:color w:val="000000"/>
                <w:kern w:val="0"/>
                <w:sz w:val="24"/>
                <w:szCs w:val="24"/>
                <w:highlight w:val="none"/>
                <w:u w:val="none"/>
                <w:lang w:val="en-US" w:eastAsia="zh-CN" w:bidi="ar-SA"/>
              </w:rPr>
              <w:t>主业处于关系国家安全、国民经济命脉的重要行业和关键领域，主要</w:t>
            </w:r>
            <w:r>
              <w:rPr>
                <w:rFonts w:hint="eastAsia" w:ascii="仿宋_GB2312" w:hAnsi="仿宋_GB2312" w:eastAsia="仿宋_GB2312" w:cs="仿宋_GB2312"/>
                <w:i w:val="0"/>
                <w:color w:val="000000"/>
                <w:kern w:val="0"/>
                <w:sz w:val="24"/>
                <w:szCs w:val="24"/>
                <w:u w:val="none"/>
                <w:lang w:val="en-US" w:eastAsia="zh-CN" w:bidi="ar-SA"/>
              </w:rPr>
              <w:t>承担重大专项任务的子企业</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产权管理处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80" w:hRule="atLeast"/>
        </w:trPr>
        <w:tc>
          <w:tcPr>
            <w:tcW w:w="578" w:type="dxa"/>
            <w:vMerge w:val="continue"/>
            <w:tcBorders>
              <w:top w:val="single" w:color="000000" w:sz="4" w:space="0"/>
              <w:left w:val="single" w:color="000000" w:sz="4" w:space="0"/>
              <w:bottom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516" w:type="dxa"/>
            <w:vMerge w:val="continue"/>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（23）审核特定情形的非公开协议方式增资行为</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监管企业及各级子企业</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产权管理处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49" w:hRule="atLeast"/>
        </w:trPr>
        <w:tc>
          <w:tcPr>
            <w:tcW w:w="578" w:type="dxa"/>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13</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审核非同一监管企业、非同一国资监管机构所出资企业，企业国有产权在政府机构、事业单位、国有独资（全资）企业（公司）间的无偿划转审核及企业国有产权置换事项（对金融企业另有规定的，从其规定）</w:t>
            </w:r>
          </w:p>
        </w:tc>
        <w:tc>
          <w:tcPr>
            <w:tcW w:w="1516" w:type="dxa"/>
            <w:vMerge w:val="restart"/>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color w:val="auto"/>
                <w:sz w:val="24"/>
                <w:lang w:eastAsia="zh-CN"/>
              </w:rPr>
              <w:t>《企业国有资产监督管理暂行条例》</w:t>
            </w:r>
            <w:r>
              <w:rPr>
                <w:rFonts w:hint="eastAsia" w:ascii="仿宋_GB2312" w:hAnsi="仿宋_GB2312" w:eastAsia="仿宋_GB2312" w:cs="仿宋_GB2312"/>
                <w:color w:val="auto"/>
                <w:sz w:val="24"/>
              </w:rPr>
              <w:t>第二十九条、第三十条、第三十一条、第三十二条</w:t>
            </w: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（24）审核非同一监管企业、非同一国资监管机构所出资企业，企业国有资产在政府机构、事业单位、国有独资（全资）企业（公司）间的无偿划转</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监管企业及各级子企业</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产权管理处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45" w:hRule="atLeast"/>
        </w:trPr>
        <w:tc>
          <w:tcPr>
            <w:tcW w:w="578" w:type="dxa"/>
            <w:vMerge w:val="continue"/>
            <w:tcBorders>
              <w:top w:val="single" w:color="000000" w:sz="4" w:space="0"/>
              <w:left w:val="single" w:color="000000" w:sz="4" w:space="0"/>
              <w:bottom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516" w:type="dxa"/>
            <w:vMerge w:val="continue"/>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（25）审核非同一监管企业、非同一国资监管机构所出资企业的国有产权置换</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监管企业及各级子企业</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产权管理处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6"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14</w:t>
            </w: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14</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审核股份公司设立、变动涉及的国有股权管理方案，审核</w:t>
            </w:r>
            <w:r>
              <w:rPr>
                <w:rFonts w:hint="eastAsia" w:ascii="仿宋_GB2312" w:hAnsi="仿宋_GB2312" w:eastAsia="仿宋_GB2312" w:cs="仿宋_GB2312"/>
                <w:color w:val="000000"/>
                <w:kern w:val="0"/>
                <w:sz w:val="24"/>
              </w:rPr>
              <w:t>国有股东所持上市公司股份</w:t>
            </w:r>
            <w:r>
              <w:rPr>
                <w:rFonts w:hint="eastAsia" w:ascii="仿宋_GB2312" w:hAnsi="仿宋_GB2312" w:eastAsia="仿宋_GB2312" w:cs="仿宋_GB2312"/>
                <w:color w:val="000000"/>
                <w:kern w:val="0"/>
                <w:sz w:val="24"/>
                <w:lang w:eastAsia="zh-CN"/>
              </w:rPr>
              <w:t>的转让</w:t>
            </w: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审核股份公司的设立、变动涉及的国有股权管理方案，审核</w:t>
            </w:r>
            <w:r>
              <w:rPr>
                <w:rFonts w:hint="eastAsia" w:ascii="仿宋_GB2312" w:hAnsi="仿宋_GB2312" w:eastAsia="仿宋_GB2312" w:cs="仿宋_GB2312"/>
                <w:color w:val="000000"/>
                <w:kern w:val="0"/>
                <w:sz w:val="24"/>
              </w:rPr>
              <w:t>国有股东所持上市公司股份</w:t>
            </w:r>
            <w:r>
              <w:rPr>
                <w:rFonts w:hint="eastAsia" w:ascii="仿宋_GB2312" w:hAnsi="仿宋_GB2312" w:eastAsia="仿宋_GB2312" w:cs="仿宋_GB2312"/>
                <w:color w:val="000000"/>
                <w:kern w:val="0"/>
                <w:sz w:val="24"/>
                <w:lang w:eastAsia="zh-CN"/>
              </w:rPr>
              <w:t>的转让</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color w:val="auto"/>
                <w:sz w:val="24"/>
                <w:lang w:eastAsia="zh-CN"/>
              </w:rPr>
              <w:t>《企业国有资产监督管理暂行条例》</w:t>
            </w:r>
            <w:r>
              <w:rPr>
                <w:rFonts w:hint="eastAsia" w:ascii="仿宋_GB2312" w:hAnsi="仿宋_GB2312" w:eastAsia="仿宋_GB2312" w:cs="仿宋_GB2312"/>
                <w:color w:val="auto"/>
                <w:sz w:val="24"/>
              </w:rPr>
              <w:t>第二十九条</w:t>
            </w: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（26）审核股份公司设立、变动涉及的国有股权管理方案</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监管企业及各级子企业</w:t>
            </w:r>
          </w:p>
        </w:tc>
        <w:tc>
          <w:tcPr>
            <w:tcW w:w="1260"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产权管理处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1"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jc w:val="center"/>
              <w:textAlignment w:val="auto"/>
              <w:rPr>
                <w:rFonts w:hint="eastAsia" w:ascii="仿宋_GB2312" w:hAnsi="仿宋_GB2312" w:eastAsia="仿宋_GB2312" w:cs="仿宋_GB2312"/>
                <w:i w:val="0"/>
                <w:color w:val="000000"/>
                <w:kern w:val="0"/>
                <w:sz w:val="24"/>
                <w:szCs w:val="24"/>
                <w:u w:val="none"/>
                <w:lang w:val="en-US" w:eastAsia="zh-CN" w:bidi="ar-SA"/>
              </w:rPr>
            </w:pPr>
          </w:p>
          <w:p>
            <w:pPr>
              <w:widowControl w:val="0"/>
              <w:jc w:val="center"/>
              <w:textAlignment w:val="auto"/>
              <w:rPr>
                <w:rFonts w:hint="eastAsia" w:ascii="仿宋_GB2312" w:hAnsi="仿宋_GB2312" w:eastAsia="仿宋_GB2312" w:cs="仿宋_GB2312"/>
                <w:i w:val="0"/>
                <w:color w:val="000000"/>
                <w:kern w:val="0"/>
                <w:sz w:val="24"/>
                <w:szCs w:val="24"/>
                <w:u w:val="none"/>
                <w:lang w:val="en-US" w:eastAsia="zh-CN" w:bidi="ar-SA"/>
              </w:rPr>
            </w:pPr>
          </w:p>
          <w:p>
            <w:pPr>
              <w:widowControl w:val="0"/>
              <w:jc w:val="center"/>
              <w:textAlignment w:val="auto"/>
              <w:rPr>
                <w:rFonts w:hint="eastAsia" w:ascii="仿宋_GB2312" w:hAnsi="仿宋_GB2312" w:eastAsia="仿宋_GB2312" w:cs="仿宋_GB2312"/>
                <w:i w:val="0"/>
                <w:color w:val="000000"/>
                <w:kern w:val="0"/>
                <w:sz w:val="24"/>
                <w:szCs w:val="24"/>
                <w:u w:val="none"/>
                <w:lang w:val="en-US" w:eastAsia="zh-CN" w:bidi="ar-SA"/>
              </w:rPr>
            </w:pPr>
          </w:p>
          <w:p>
            <w:pPr>
              <w:widowControl w:val="0"/>
              <w:jc w:val="center"/>
              <w:textAlignment w:val="auto"/>
              <w:rPr>
                <w:rFonts w:hint="eastAsia" w:ascii="仿宋_GB2312" w:hAnsi="仿宋_GB2312" w:eastAsia="仿宋_GB2312" w:cs="仿宋_GB2312"/>
                <w:i w:val="0"/>
                <w:color w:val="000000"/>
                <w:kern w:val="0"/>
                <w:sz w:val="24"/>
                <w:szCs w:val="24"/>
                <w:u w:val="none"/>
                <w:lang w:val="en-US" w:eastAsia="zh-CN" w:bidi="ar-SA"/>
              </w:rPr>
            </w:pPr>
          </w:p>
          <w:p>
            <w:pPr>
              <w:widowControl w:val="0"/>
              <w:jc w:val="center"/>
              <w:textAlignment w:val="auto"/>
              <w:rPr>
                <w:rFonts w:hint="eastAsia" w:ascii="仿宋_GB2312" w:hAnsi="仿宋_GB2312" w:eastAsia="仿宋_GB2312" w:cs="仿宋_GB2312"/>
                <w:i w:val="0"/>
                <w:color w:val="000000"/>
                <w:kern w:val="0"/>
                <w:sz w:val="24"/>
                <w:szCs w:val="24"/>
                <w:u w:val="none"/>
                <w:lang w:val="en-US" w:eastAsia="zh-CN" w:bidi="ar-SA"/>
              </w:rPr>
            </w:pPr>
          </w:p>
          <w:p>
            <w:pPr>
              <w:widowControl w:val="0"/>
              <w:jc w:val="center"/>
              <w:textAlignment w:val="auto"/>
              <w:rPr>
                <w:rFonts w:hint="eastAsia" w:ascii="仿宋_GB2312" w:hAnsi="仿宋_GB2312" w:eastAsia="仿宋_GB2312" w:cs="仿宋_GB2312"/>
                <w:i w:val="0"/>
                <w:color w:val="000000"/>
                <w:kern w:val="0"/>
                <w:sz w:val="24"/>
                <w:szCs w:val="24"/>
                <w:u w:val="none"/>
                <w:lang w:val="en-US" w:eastAsia="zh-CN" w:bidi="ar-SA"/>
              </w:rPr>
            </w:pPr>
          </w:p>
          <w:p>
            <w:pPr>
              <w:widowControl w:val="0"/>
              <w:jc w:val="center"/>
              <w:textAlignment w:val="auto"/>
              <w:rPr>
                <w:rFonts w:hint="eastAsia" w:ascii="仿宋_GB2312" w:hAnsi="仿宋_GB2312" w:eastAsia="仿宋_GB2312" w:cs="仿宋_GB2312"/>
                <w:i w:val="0"/>
                <w:color w:val="000000"/>
                <w:kern w:val="0"/>
                <w:sz w:val="24"/>
                <w:szCs w:val="24"/>
                <w:u w:val="none"/>
                <w:lang w:val="en-US" w:eastAsia="zh-CN" w:bidi="ar-SA"/>
              </w:rPr>
            </w:pPr>
          </w:p>
          <w:p>
            <w:pPr>
              <w:widowControl w:val="0"/>
              <w:jc w:val="center"/>
              <w:textAlignment w:val="auto"/>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w:t>
            </w:r>
            <w:r>
              <w:rPr>
                <w:rFonts w:hint="eastAsia" w:ascii="仿宋_GB2312" w:hAnsi="仿宋_GB2312" w:eastAsia="仿宋_GB2312" w:cs="仿宋_GB2312"/>
                <w:color w:val="000000"/>
                <w:kern w:val="0"/>
                <w:sz w:val="24"/>
                <w:szCs w:val="24"/>
              </w:rPr>
              <w:t>上市公司国有股权监督管理办法</w:t>
            </w:r>
            <w:r>
              <w:rPr>
                <w:rFonts w:hint="eastAsia" w:ascii="仿宋_GB2312" w:hAnsi="仿宋_GB2312" w:eastAsia="仿宋_GB2312" w:cs="仿宋_GB2312"/>
                <w:i w:val="0"/>
                <w:color w:val="000000"/>
                <w:kern w:val="0"/>
                <w:sz w:val="24"/>
                <w:szCs w:val="24"/>
                <w:u w:val="none"/>
                <w:lang w:val="en-US" w:eastAsia="zh-CN" w:bidi="ar-SA"/>
              </w:rPr>
              <w:t>》（国务院国资委、财政部、中国证监会令第36号）</w:t>
            </w: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val="0"/>
              <w:jc w:val="center"/>
              <w:textAlignment w:val="auto"/>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w:t>
            </w:r>
            <w:r>
              <w:rPr>
                <w:rFonts w:hint="eastAsia" w:ascii="仿宋_GB2312" w:hAnsi="仿宋_GB2312" w:eastAsia="仿宋_GB2312" w:cs="仿宋_GB2312"/>
                <w:color w:val="000000"/>
                <w:kern w:val="0"/>
                <w:sz w:val="24"/>
                <w:szCs w:val="24"/>
              </w:rPr>
              <w:t>上市公司国有股权监督管理办法</w:t>
            </w:r>
            <w:r>
              <w:rPr>
                <w:rFonts w:hint="eastAsia" w:ascii="仿宋_GB2312" w:hAnsi="仿宋_GB2312" w:eastAsia="仿宋_GB2312" w:cs="仿宋_GB2312"/>
                <w:i w:val="0"/>
                <w:color w:val="000000"/>
                <w:kern w:val="0"/>
                <w:sz w:val="24"/>
                <w:szCs w:val="24"/>
                <w:u w:val="none"/>
                <w:lang w:val="en-US" w:eastAsia="zh-CN" w:bidi="ar-SA"/>
              </w:rPr>
              <w:t>》（国务院国资委、财政部、中国证监会令第36号）</w:t>
            </w: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（27）国有股东所持上市公司股份通过证券交易系统转让，应报国资监管机构审批的情形</w:t>
            </w:r>
          </w:p>
        </w:tc>
        <w:tc>
          <w:tcPr>
            <w:tcW w:w="2128" w:type="dxa"/>
            <w:tcBorders>
              <w:top w:val="single" w:color="000000" w:sz="4" w:space="0"/>
              <w:bottom w:val="single" w:color="000000" w:sz="4" w:space="0"/>
              <w:right w:val="single" w:color="auto"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持有上市公司股份的监管企业及各级子企业</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资本运营与收益管理处、产权管理处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9"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（28）国有股东所持上市公司股份公开征集转让，应通过管理信息系统报送国资监管机构，</w:t>
            </w:r>
            <w:r>
              <w:rPr>
                <w:rFonts w:hint="eastAsia" w:ascii="仿宋_GB2312" w:hAnsi="仿宋_GB2312" w:eastAsia="仿宋_GB2312" w:cs="仿宋_GB2312"/>
                <w:color w:val="000000"/>
                <w:kern w:val="0"/>
                <w:sz w:val="24"/>
              </w:rPr>
              <w:t>应报国资监管机构审批的情形报市国资委审批</w:t>
            </w:r>
          </w:p>
        </w:tc>
        <w:tc>
          <w:tcPr>
            <w:tcW w:w="2128" w:type="dxa"/>
            <w:tcBorders>
              <w:top w:val="single" w:color="000000" w:sz="4" w:space="0"/>
              <w:bottom w:val="single" w:color="000000" w:sz="4" w:space="0"/>
              <w:right w:val="single" w:color="auto"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持有上市公司股份的监管企业及各级子企业</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资本运营与收益管理处、产权管理处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62"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（29）国有股东所持上市公司股份非公开协议转让，应报国资监管机构审批的情形</w:t>
            </w:r>
          </w:p>
        </w:tc>
        <w:tc>
          <w:tcPr>
            <w:tcW w:w="2128" w:type="dxa"/>
            <w:tcBorders>
              <w:top w:val="single" w:color="000000" w:sz="4" w:space="0"/>
              <w:bottom w:val="single" w:color="000000" w:sz="4" w:space="0"/>
              <w:right w:val="single" w:color="auto"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持有上市公司股份的监管企业及各级子企业</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资本运营与收益管理处、产权管理处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8"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516" w:type="dxa"/>
            <w:vMerge w:val="continue"/>
            <w:tcBorders>
              <w:top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921" w:type="dxa"/>
            <w:tcBorders>
              <w:top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（30）国有股东所持上市公司股份无偿划转，应报国资监管机构审批的情形</w:t>
            </w:r>
          </w:p>
        </w:tc>
        <w:tc>
          <w:tcPr>
            <w:tcW w:w="2128" w:type="dxa"/>
            <w:tcBorders>
              <w:top w:val="single" w:color="000000" w:sz="4" w:space="0"/>
              <w:bottom w:val="single" w:color="000000" w:sz="4" w:space="0"/>
              <w:right w:val="single" w:color="auto"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持有上市公司股份的监管企业及各级子企业</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资本运营与收益管理处、产权管理处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03"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415" w:type="dxa"/>
            <w:vMerge w:val="continue"/>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516" w:type="dxa"/>
            <w:vMerge w:val="continue"/>
            <w:tcBorders>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921" w:type="dxa"/>
            <w:tcBorders>
              <w:top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（31）审核国有股东所持上市公司股份间接转让</w:t>
            </w:r>
          </w:p>
        </w:tc>
        <w:tc>
          <w:tcPr>
            <w:tcW w:w="2128" w:type="dxa"/>
            <w:tcBorders>
              <w:top w:val="single" w:color="000000" w:sz="4" w:space="0"/>
              <w:bottom w:val="single" w:color="000000" w:sz="4" w:space="0"/>
              <w:right w:val="single" w:color="auto"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持有上市公司股份的监管企业及各级子企业</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资本运营与收益管理处、产权管理处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7"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15</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审核国有股东发行可交换债、受让上市公司股份、进行资产重组；审核国有控股上市公司发行证券、吸收合并</w:t>
            </w:r>
          </w:p>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w:t>
            </w:r>
            <w:r>
              <w:rPr>
                <w:rFonts w:hint="eastAsia" w:ascii="仿宋_GB2312" w:hAnsi="仿宋_GB2312" w:eastAsia="仿宋_GB2312" w:cs="仿宋_GB2312"/>
                <w:color w:val="000000"/>
                <w:kern w:val="0"/>
                <w:sz w:val="24"/>
                <w:szCs w:val="24"/>
              </w:rPr>
              <w:t>上市公司国有股权监督管理办法</w:t>
            </w:r>
            <w:r>
              <w:rPr>
                <w:rFonts w:hint="eastAsia" w:ascii="仿宋_GB2312" w:hAnsi="仿宋_GB2312" w:eastAsia="仿宋_GB2312" w:cs="仿宋_GB2312"/>
                <w:i w:val="0"/>
                <w:color w:val="000000"/>
                <w:kern w:val="0"/>
                <w:sz w:val="24"/>
                <w:szCs w:val="24"/>
                <w:u w:val="none"/>
                <w:lang w:val="en-US" w:eastAsia="zh-CN" w:bidi="ar-SA"/>
              </w:rPr>
              <w:t>》（国务院国资委、财政部、中国证监会令第36号）</w:t>
            </w: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（32）审核上市公司国有股东发行可交换债券，</w:t>
            </w:r>
            <w:r>
              <w:rPr>
                <w:rFonts w:hint="eastAsia" w:ascii="仿宋_GB2312" w:hAnsi="仿宋_GB2312" w:eastAsia="仿宋_GB2312" w:cs="仿宋_GB2312"/>
                <w:color w:val="000000"/>
                <w:kern w:val="0"/>
                <w:sz w:val="24"/>
              </w:rPr>
              <w:t>应报国资监管机构审批的情形</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持有上市公司股份的监管企业及各级子企业</w:t>
            </w:r>
          </w:p>
        </w:tc>
        <w:tc>
          <w:tcPr>
            <w:tcW w:w="1260"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资本运营与收益管理处、产权管理处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87"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（33）审核国有股东受让上市公司股份</w:t>
            </w:r>
            <w:r>
              <w:rPr>
                <w:rFonts w:hint="eastAsia" w:ascii="仿宋_GB2312" w:hAnsi="仿宋_GB2312" w:eastAsia="仿宋_GB2312" w:cs="仿宋_GB2312"/>
                <w:b w:val="0"/>
                <w:bCs w:val="0"/>
                <w:color w:val="000000"/>
                <w:kern w:val="0"/>
                <w:sz w:val="24"/>
              </w:rPr>
              <w:t>，应报国资监管机构审批的情形</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监管企业及各级子企业</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资本运营与收益管理处、产权管理处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39"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（34）审核国有控股上市公司之间或国有控股上市公司与非国有控股上市公司之间的吸收合并</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持有上市公司股份的监管企业及各级子企业</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资本运营与收益管理处、产权管理处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（35）审核</w:t>
            </w:r>
            <w:r>
              <w:rPr>
                <w:rFonts w:hint="eastAsia" w:ascii="仿宋_GB2312" w:hAnsi="仿宋_GB2312" w:eastAsia="仿宋_GB2312" w:cs="仿宋_GB2312"/>
                <w:b w:val="0"/>
                <w:bCs w:val="0"/>
                <w:color w:val="auto"/>
                <w:sz w:val="24"/>
              </w:rPr>
              <w:t>国有股东所控股</w:t>
            </w:r>
            <w:r>
              <w:rPr>
                <w:rFonts w:hint="eastAsia" w:ascii="仿宋_GB2312" w:hAnsi="仿宋_GB2312" w:eastAsia="仿宋_GB2312" w:cs="仿宋_GB2312"/>
                <w:b w:val="0"/>
                <w:bCs w:val="0"/>
                <w:i w:val="0"/>
                <w:color w:val="auto"/>
                <w:kern w:val="0"/>
                <w:sz w:val="24"/>
                <w:szCs w:val="24"/>
                <w:u w:val="none"/>
                <w:lang w:val="en-US" w:eastAsia="zh-CN" w:bidi="ar-SA"/>
              </w:rPr>
              <w:t>上市</w:t>
            </w:r>
            <w:r>
              <w:rPr>
                <w:rFonts w:hint="eastAsia" w:ascii="仿宋_GB2312" w:hAnsi="仿宋_GB2312" w:eastAsia="仿宋_GB2312" w:cs="仿宋_GB2312"/>
                <w:i w:val="0"/>
                <w:color w:val="000000"/>
                <w:kern w:val="0"/>
                <w:sz w:val="24"/>
                <w:szCs w:val="24"/>
                <w:u w:val="none"/>
                <w:lang w:val="en-US" w:eastAsia="zh-CN" w:bidi="ar-SA"/>
              </w:rPr>
              <w:t>公司发行证券，</w:t>
            </w:r>
            <w:r>
              <w:rPr>
                <w:rFonts w:hint="eastAsia" w:ascii="仿宋_GB2312" w:hAnsi="仿宋_GB2312" w:eastAsia="仿宋_GB2312" w:cs="仿宋_GB2312"/>
                <w:color w:val="000000"/>
                <w:kern w:val="0"/>
                <w:sz w:val="24"/>
              </w:rPr>
              <w:t>应报国资监管机构审批的情形</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持有上市公司股份的监管企业及各级子企业</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资本运营与收益管理处、产权管理处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87" w:hRule="atLeast"/>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（36）预审核国有股东与上市公司进行资产重组，审批应报国资监管机构的情形</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监管企业及各级子企业</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资本运营与收益管理处、产权管理处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34" w:hRule="atLeast"/>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16</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审核监管企业中国有独资企业、国有独资公司发行公司债券、企业债券等中长期债券；审核监管企业增减注册资本</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《企业国有资产监督管理暂行条例》</w:t>
            </w:r>
            <w:r>
              <w:rPr>
                <w:rFonts w:hint="eastAsia" w:ascii="仿宋_GB2312" w:hAnsi="仿宋_GB2312" w:eastAsia="仿宋_GB2312" w:cs="仿宋_GB2312"/>
                <w:color w:val="auto"/>
                <w:sz w:val="24"/>
              </w:rPr>
              <w:t>第二十一条</w:t>
            </w: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（37）审核监管企业中国有独资企业、国有独资公司发行公司债券、企业债券等中长期债券</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监管企业中的国有独资企业、全资公司</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财务监管与经济运行处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03" w:hRule="atLeast"/>
        </w:trPr>
        <w:tc>
          <w:tcPr>
            <w:tcW w:w="578"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415" w:type="dxa"/>
            <w:vMerge w:val="continue"/>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516" w:type="dxa"/>
            <w:vMerge w:val="continue"/>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（38）审核监管企业增减注册资本</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监管企业中的国有独资企业、全资公司</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产权管理处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65" w:hRule="atLeast"/>
        </w:trPr>
        <w:tc>
          <w:tcPr>
            <w:tcW w:w="578"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17</w:t>
            </w:r>
          </w:p>
        </w:tc>
        <w:tc>
          <w:tcPr>
            <w:tcW w:w="1415" w:type="dxa"/>
            <w:vMerge w:val="restart"/>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经市政府或市国资委批准的经济行为所涉及的资产评估报告核准或备案</w:t>
            </w:r>
          </w:p>
        </w:tc>
        <w:tc>
          <w:tcPr>
            <w:tcW w:w="1516" w:type="dxa"/>
            <w:vMerge w:val="restart"/>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《国有资产评估管理办法》（国务院令91号）第八条</w:t>
            </w: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（39）</w:t>
            </w:r>
            <w:r>
              <w:rPr>
                <w:rFonts w:hint="eastAsia" w:ascii="仿宋_GB2312" w:hAnsi="仿宋_GB2312" w:eastAsia="仿宋_GB2312" w:cs="仿宋_GB2312"/>
                <w:b w:val="0"/>
                <w:i w:val="0"/>
                <w:color w:val="000000"/>
                <w:kern w:val="0"/>
                <w:sz w:val="24"/>
                <w:szCs w:val="24"/>
                <w:shd w:val="clear" w:color="auto" w:fill="auto"/>
              </w:rPr>
              <w:t>经市政府批准的经济行为所涉及的资产评估报告以及经市国资委批准的上市公司的经济行为所涉及的资产评估报告核准</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监管企业及各级子企业</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产权管理处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68" w:hRule="atLeast"/>
        </w:trPr>
        <w:tc>
          <w:tcPr>
            <w:tcW w:w="578"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i w:val="0"/>
                <w:color w:val="000000"/>
                <w:sz w:val="24"/>
                <w:szCs w:val="24"/>
                <w:u w:val="none"/>
              </w:rPr>
            </w:pPr>
          </w:p>
        </w:tc>
        <w:tc>
          <w:tcPr>
            <w:tcW w:w="1415" w:type="dxa"/>
            <w:vMerge w:val="continue"/>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516" w:type="dxa"/>
            <w:vMerge w:val="continue"/>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（40）经市国资委批准的经济行为所涉及资产评估报告备案</w:t>
            </w:r>
          </w:p>
        </w:tc>
        <w:tc>
          <w:tcPr>
            <w:tcW w:w="21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监管企业及各级子企业</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产权管理处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2" w:hRule="atLeast"/>
        </w:trPr>
        <w:tc>
          <w:tcPr>
            <w:tcW w:w="578"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SA"/>
              </w:rPr>
              <w:t>18</w:t>
            </w:r>
          </w:p>
        </w:tc>
        <w:tc>
          <w:tcPr>
            <w:tcW w:w="1415" w:type="dxa"/>
            <w:vMerge w:val="restart"/>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监管企业年度合并报表决算审计报告和中期（含月度和季度）财务报表会计报告事项备案</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b w:val="0"/>
                <w:bCs/>
                <w:color w:val="auto"/>
                <w:sz w:val="24"/>
                <w:lang w:eastAsia="zh-CN"/>
              </w:rPr>
              <w:t>《企业国有资产统计报告办法》（国务院国资委令第4号）第十二条、第十七条</w:t>
            </w: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（41）组织实施监管企业年度国资统计、中期报表工作</w:t>
            </w:r>
          </w:p>
        </w:tc>
        <w:tc>
          <w:tcPr>
            <w:tcW w:w="2128" w:type="dxa"/>
            <w:tcBorders>
              <w:top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w:t>
            </w:r>
          </w:p>
        </w:tc>
        <w:tc>
          <w:tcPr>
            <w:tcW w:w="1260" w:type="dxa"/>
            <w:tcBorders>
              <w:top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财务监管与经济运行处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76" w:hRule="atLeast"/>
        </w:trPr>
        <w:tc>
          <w:tcPr>
            <w:tcW w:w="578" w:type="dxa"/>
            <w:vMerge w:val="continue"/>
            <w:tcBorders>
              <w:left w:val="single" w:color="000000" w:sz="4" w:space="0"/>
              <w:bottom w:val="single" w:color="000000" w:sz="4" w:space="0"/>
              <w:right w:val="single" w:color="000000" w:sz="4" w:space="0"/>
            </w:tcBorders>
            <w:shd w:val="clear" w:color="auto" w:fill="FFFFFF"/>
            <w:vAlign w:val="center"/>
          </w:tcPr>
          <w:p>
            <w:pPr>
              <w:jc w:val="left"/>
              <w:rPr>
                <w:rFonts w:hint="eastAsia" w:ascii="仿宋_GB2312" w:hAnsi="仿宋_GB2312" w:eastAsia="仿宋_GB2312" w:cs="仿宋_GB2312"/>
                <w:i w:val="0"/>
                <w:color w:val="000000"/>
                <w:sz w:val="24"/>
                <w:szCs w:val="24"/>
                <w:u w:val="none"/>
              </w:rPr>
            </w:pPr>
          </w:p>
        </w:tc>
        <w:tc>
          <w:tcPr>
            <w:tcW w:w="1415" w:type="dxa"/>
            <w:vMerge w:val="continue"/>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b w:val="0"/>
                <w:bCs/>
                <w:color w:val="auto"/>
                <w:sz w:val="24"/>
                <w:lang w:eastAsia="zh-CN"/>
              </w:rPr>
              <w:t>《中央企业财务决算报告管理办法》（国务院国资委令第5号）第三十四条</w:t>
            </w:r>
          </w:p>
        </w:tc>
        <w:tc>
          <w:tcPr>
            <w:tcW w:w="19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0"/>
              </w:numPr>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（42）监管企业年度合并财务报表决算审计报告备案</w:t>
            </w:r>
          </w:p>
        </w:tc>
        <w:tc>
          <w:tcPr>
            <w:tcW w:w="2128" w:type="dxa"/>
            <w:tcBorders>
              <w:top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监管企业</w:t>
            </w:r>
          </w:p>
        </w:tc>
        <w:tc>
          <w:tcPr>
            <w:tcW w:w="1260" w:type="dxa"/>
            <w:tcBorders>
              <w:top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财务监管与经济运行处</w:t>
            </w:r>
          </w:p>
        </w:tc>
      </w:tr>
    </w:tbl>
    <w:p>
      <w:pPr>
        <w:jc w:val="center"/>
        <w:rPr>
          <w:rFonts w:hint="eastAsia" w:ascii="黑体" w:hAnsi="黑体" w:eastAsia="黑体" w:cs="黑体"/>
          <w:b w:val="0"/>
          <w:bCs/>
          <w:i w:val="0"/>
          <w:color w:val="000000"/>
          <w:kern w:val="0"/>
          <w:sz w:val="44"/>
          <w:szCs w:val="44"/>
          <w:u w:val="none"/>
          <w:lang w:val="en-US" w:eastAsia="zh-CN" w:bidi="ar-SA"/>
        </w:rPr>
      </w:pPr>
    </w:p>
    <w:p>
      <w:pPr>
        <w:jc w:val="center"/>
        <w:rPr>
          <w:rFonts w:hint="eastAsia" w:ascii="黑体" w:hAnsi="黑体" w:eastAsia="黑体" w:cs="黑体"/>
          <w:b w:val="0"/>
          <w:bCs/>
          <w:i w:val="0"/>
          <w:color w:val="000000"/>
          <w:kern w:val="0"/>
          <w:sz w:val="44"/>
          <w:szCs w:val="44"/>
          <w:u w:val="none"/>
          <w:lang w:val="en-US" w:eastAsia="zh-CN" w:bidi="ar-SA"/>
        </w:rPr>
      </w:pPr>
    </w:p>
    <w:p>
      <w:pPr>
        <w:jc w:val="center"/>
        <w:rPr>
          <w:rFonts w:hint="eastAsia" w:ascii="黑体" w:hAnsi="黑体" w:eastAsia="黑体" w:cs="黑体"/>
          <w:b w:val="0"/>
          <w:bCs/>
          <w:i w:val="0"/>
          <w:color w:val="000000"/>
          <w:kern w:val="0"/>
          <w:sz w:val="44"/>
          <w:szCs w:val="44"/>
          <w:u w:val="none"/>
          <w:lang w:val="en-US" w:eastAsia="zh-CN" w:bidi="ar-SA"/>
        </w:rPr>
      </w:pPr>
    </w:p>
    <w:p>
      <w:pPr>
        <w:jc w:val="center"/>
        <w:rPr>
          <w:rFonts w:hint="eastAsia" w:ascii="黑体" w:hAnsi="黑体" w:eastAsia="黑体" w:cs="黑体"/>
          <w:b w:val="0"/>
          <w:bCs/>
          <w:i w:val="0"/>
          <w:color w:val="000000"/>
          <w:kern w:val="0"/>
          <w:sz w:val="44"/>
          <w:szCs w:val="44"/>
          <w:u w:val="none"/>
          <w:lang w:val="en-US" w:eastAsia="zh-CN" w:bidi="ar-SA"/>
        </w:rPr>
      </w:pPr>
      <w:r>
        <w:rPr>
          <w:rFonts w:hint="eastAsia" w:ascii="黑体" w:hAnsi="黑体" w:eastAsia="黑体" w:cs="黑体"/>
          <w:b w:val="0"/>
          <w:bCs/>
          <w:i w:val="0"/>
          <w:color w:val="000000"/>
          <w:kern w:val="0"/>
          <w:sz w:val="44"/>
          <w:szCs w:val="44"/>
          <w:u w:val="none"/>
          <w:lang w:val="en-US" w:eastAsia="zh-CN" w:bidi="ar-SA"/>
        </w:rPr>
        <w:t>广州市国资委日常管理事项清单</w:t>
      </w:r>
    </w:p>
    <w:tbl>
      <w:tblPr>
        <w:tblStyle w:val="3"/>
        <w:tblW w:w="88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6"/>
        <w:gridCol w:w="1447"/>
        <w:gridCol w:w="1516"/>
        <w:gridCol w:w="1903"/>
        <w:gridCol w:w="2161"/>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SA"/>
              </w:rPr>
              <w:t>序号</w:t>
            </w:r>
          </w:p>
        </w:tc>
        <w:tc>
          <w:tcPr>
            <w:tcW w:w="14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SA"/>
              </w:rPr>
              <w:t>事项</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i w:val="0"/>
                <w:color w:val="000000"/>
                <w:kern w:val="0"/>
                <w:sz w:val="24"/>
                <w:szCs w:val="24"/>
                <w:u w:val="none"/>
                <w:lang w:val="en-US" w:eastAsia="zh-CN" w:bidi="ar-SA"/>
              </w:rPr>
            </w:pPr>
            <w:r>
              <w:rPr>
                <w:rFonts w:hint="eastAsia" w:ascii="仿宋_GB2312" w:hAnsi="仿宋_GB2312" w:eastAsia="仿宋_GB2312" w:cs="仿宋_GB2312"/>
                <w:b/>
                <w:i w:val="0"/>
                <w:color w:val="000000"/>
                <w:kern w:val="0"/>
                <w:sz w:val="24"/>
                <w:szCs w:val="24"/>
                <w:u w:val="none"/>
                <w:lang w:val="en-US" w:eastAsia="zh-CN" w:bidi="ar-SA"/>
              </w:rPr>
              <w:t>实施依据</w:t>
            </w:r>
          </w:p>
        </w:tc>
        <w:tc>
          <w:tcPr>
            <w:tcW w:w="19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SA"/>
              </w:rPr>
              <w:t>子项</w:t>
            </w:r>
          </w:p>
        </w:tc>
        <w:tc>
          <w:tcPr>
            <w:tcW w:w="216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i w:val="0"/>
                <w:color w:val="000000"/>
                <w:sz w:val="24"/>
                <w:szCs w:val="24"/>
                <w:u w:val="none"/>
                <w:lang w:eastAsia="zh-CN"/>
              </w:rPr>
            </w:pPr>
            <w:r>
              <w:rPr>
                <w:rFonts w:hint="eastAsia" w:ascii="仿宋_GB2312" w:hAnsi="仿宋_GB2312" w:eastAsia="仿宋_GB2312" w:cs="仿宋_GB2312"/>
                <w:b/>
                <w:i w:val="0"/>
                <w:color w:val="000000"/>
                <w:sz w:val="24"/>
                <w:szCs w:val="24"/>
                <w:u w:val="none"/>
                <w:lang w:eastAsia="zh-CN"/>
              </w:rPr>
              <w:t>适用范围</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SA"/>
              </w:rPr>
              <w:t>主办处室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1</w:t>
            </w: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color w:val="auto"/>
                <w:sz w:val="24"/>
                <w:lang w:eastAsia="zh-CN"/>
              </w:rPr>
              <w:t>审核</w:t>
            </w:r>
            <w:r>
              <w:rPr>
                <w:rFonts w:hint="eastAsia" w:ascii="仿宋_GB2312" w:hAnsi="仿宋_GB2312" w:eastAsia="仿宋_GB2312" w:cs="仿宋_GB2312"/>
                <w:b w:val="0"/>
                <w:bCs w:val="0"/>
                <w:color w:val="auto"/>
                <w:sz w:val="24"/>
              </w:rPr>
              <w:t>监管企业及各级子企业</w:t>
            </w:r>
            <w:r>
              <w:rPr>
                <w:rFonts w:hint="eastAsia" w:ascii="仿宋_GB2312" w:hAnsi="仿宋_GB2312" w:eastAsia="仿宋_GB2312" w:cs="仿宋_GB2312"/>
                <w:b w:val="0"/>
                <w:bCs w:val="0"/>
                <w:color w:val="auto"/>
                <w:sz w:val="24"/>
                <w:lang w:eastAsia="zh-CN"/>
              </w:rPr>
              <w:t>在广州区域内达到一定面积、且失去市属国有控股或实际控制的土地处置</w:t>
            </w:r>
            <w:r>
              <w:rPr>
                <w:rFonts w:hint="eastAsia" w:ascii="仿宋_GB2312" w:hAnsi="仿宋_GB2312" w:eastAsia="仿宋_GB2312" w:cs="仿宋_GB2312"/>
                <w:b w:val="0"/>
                <w:bCs w:val="0"/>
                <w:color w:val="auto"/>
                <w:sz w:val="24"/>
              </w:rPr>
              <w:t>事项</w:t>
            </w:r>
          </w:p>
        </w:tc>
        <w:tc>
          <w:tcPr>
            <w:tcW w:w="1516"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p>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《关于规范我市国有企业土地资产处置的指导意见》（穗国资监管〔2019）1号）</w:t>
            </w:r>
          </w:p>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p>
        </w:tc>
        <w:tc>
          <w:tcPr>
            <w:tcW w:w="1903"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（1）</w:t>
            </w:r>
            <w:r>
              <w:rPr>
                <w:rFonts w:hint="eastAsia" w:ascii="仿宋_GB2312" w:hAnsi="仿宋_GB2312" w:eastAsia="仿宋_GB2312" w:cs="仿宋_GB2312"/>
                <w:b w:val="0"/>
                <w:bCs w:val="0"/>
                <w:color w:val="auto"/>
                <w:sz w:val="24"/>
                <w:lang w:eastAsia="zh-CN"/>
              </w:rPr>
              <w:t>在广州区域内达到一定面积、且失去市属国有控股或实际控制的土地处置</w:t>
            </w:r>
            <w:r>
              <w:rPr>
                <w:rFonts w:hint="eastAsia" w:ascii="仿宋_GB2312" w:hAnsi="仿宋_GB2312" w:eastAsia="仿宋_GB2312" w:cs="仿宋_GB2312"/>
                <w:b w:val="0"/>
                <w:bCs w:val="0"/>
                <w:i w:val="0"/>
                <w:color w:val="000000"/>
                <w:kern w:val="0"/>
                <w:sz w:val="24"/>
                <w:szCs w:val="24"/>
                <w:highlight w:val="none"/>
                <w:u w:val="none"/>
                <w:lang w:val="en-US" w:eastAsia="zh-CN" w:bidi="ar-SA"/>
              </w:rPr>
              <w:t>事项的审核或出具意见</w:t>
            </w:r>
          </w:p>
        </w:tc>
        <w:tc>
          <w:tcPr>
            <w:tcW w:w="2161"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监管企业及各级子企业</w:t>
            </w:r>
          </w:p>
        </w:tc>
        <w:tc>
          <w:tcPr>
            <w:tcW w:w="1290"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规划发展处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95" w:hRule="atLeast"/>
        </w:trPr>
        <w:tc>
          <w:tcPr>
            <w:tcW w:w="54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2</w:t>
            </w:r>
          </w:p>
        </w:tc>
        <w:tc>
          <w:tcPr>
            <w:tcW w:w="1447" w:type="dxa"/>
            <w:vMerge w:val="restart"/>
            <w:tcBorders>
              <w:top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color w:val="auto"/>
                <w:sz w:val="24"/>
                <w:lang w:eastAsia="zh-CN"/>
              </w:rPr>
              <w:t>审核</w:t>
            </w:r>
            <w:r>
              <w:rPr>
                <w:rFonts w:hint="eastAsia" w:ascii="仿宋_GB2312" w:hAnsi="仿宋_GB2312" w:eastAsia="仿宋_GB2312" w:cs="仿宋_GB2312"/>
                <w:b w:val="0"/>
                <w:bCs w:val="0"/>
                <w:color w:val="auto"/>
                <w:sz w:val="24"/>
              </w:rPr>
              <w:t>监管企业及各级子</w:t>
            </w:r>
            <w:r>
              <w:rPr>
                <w:rFonts w:hint="eastAsia" w:ascii="仿宋_GB2312" w:hAnsi="仿宋_GB2312" w:eastAsia="仿宋_GB2312" w:cs="仿宋_GB2312"/>
                <w:b w:val="0"/>
                <w:bCs w:val="0"/>
                <w:color w:val="auto"/>
                <w:sz w:val="24"/>
                <w:lang w:eastAsia="zh-CN"/>
              </w:rPr>
              <w:t>企业</w:t>
            </w:r>
            <w:r>
              <w:rPr>
                <w:rFonts w:hint="eastAsia" w:ascii="仿宋_GB2312" w:hAnsi="仿宋_GB2312" w:eastAsia="仿宋_GB2312" w:cs="仿宋_GB2312"/>
                <w:b w:val="0"/>
                <w:bCs w:val="0"/>
                <w:i w:val="0"/>
                <w:color w:val="000000"/>
                <w:kern w:val="0"/>
                <w:sz w:val="24"/>
                <w:szCs w:val="24"/>
                <w:highlight w:val="none"/>
                <w:u w:val="none"/>
                <w:lang w:val="en-US" w:eastAsia="zh-CN" w:bidi="ar-SA"/>
              </w:rPr>
              <w:t>特殊物业租赁</w:t>
            </w:r>
            <w:r>
              <w:rPr>
                <w:rFonts w:hint="eastAsia" w:ascii="仿宋_GB2312" w:hAnsi="仿宋_GB2312" w:eastAsia="仿宋_GB2312" w:cs="仿宋_GB2312"/>
                <w:b w:val="0"/>
                <w:bCs w:val="0"/>
                <w:color w:val="auto"/>
                <w:sz w:val="24"/>
              </w:rPr>
              <w:t>事项</w:t>
            </w:r>
          </w:p>
        </w:tc>
        <w:tc>
          <w:tcPr>
            <w:tcW w:w="1516"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《关于规范我市国有企业物业租赁管理的指导意见》（穗国资监管〔2019〕2号）</w:t>
            </w:r>
          </w:p>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p>
        </w:tc>
        <w:tc>
          <w:tcPr>
            <w:tcW w:w="1903"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（2）审核监管企业及各级子企业因公共利益、市政府产业引导、重大招商引资或其他扶持政策等原因，需要延长租期超过12年的出租事项</w:t>
            </w:r>
          </w:p>
        </w:tc>
        <w:tc>
          <w:tcPr>
            <w:tcW w:w="2161"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监管企业及各级子企业</w:t>
            </w:r>
          </w:p>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p>
        </w:tc>
        <w:tc>
          <w:tcPr>
            <w:tcW w:w="1290"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规划发展处</w:t>
            </w:r>
          </w:p>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74" w:hRule="atLeast"/>
        </w:trPr>
        <w:tc>
          <w:tcPr>
            <w:tcW w:w="546"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p>
        </w:tc>
        <w:tc>
          <w:tcPr>
            <w:tcW w:w="1447" w:type="dxa"/>
            <w:vMerge w:val="continue"/>
            <w:tcBorders>
              <w:bottom w:val="single" w:color="auto"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p>
        </w:tc>
        <w:tc>
          <w:tcPr>
            <w:tcW w:w="1516"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《关于规范我市国有企业物业租赁管理的指导意见》（穗国资监管〔2019〕2号）</w:t>
            </w:r>
          </w:p>
        </w:tc>
        <w:tc>
          <w:tcPr>
            <w:tcW w:w="1903"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（3）审核监管企业及各级子企业不公开招租的特殊物业租赁</w:t>
            </w:r>
          </w:p>
        </w:tc>
        <w:tc>
          <w:tcPr>
            <w:tcW w:w="2161"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监管企业及各级子企业</w:t>
            </w:r>
          </w:p>
        </w:tc>
        <w:tc>
          <w:tcPr>
            <w:tcW w:w="1290"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规划发展处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46"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3</w:t>
            </w:r>
          </w:p>
        </w:tc>
        <w:tc>
          <w:tcPr>
            <w:tcW w:w="1447"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审核监管企业主要领导人员出国（境）</w:t>
            </w:r>
          </w:p>
        </w:tc>
        <w:tc>
          <w:tcPr>
            <w:tcW w:w="1516" w:type="dxa"/>
            <w:tcBorders>
              <w:top w:val="single" w:color="auto" w:sz="4" w:space="0"/>
              <w:left w:val="single" w:color="000000" w:sz="4" w:space="0"/>
              <w:bottom w:val="single" w:color="auto" w:sz="4" w:space="0"/>
              <w:right w:val="single" w:color="000000" w:sz="4" w:space="0"/>
            </w:tcBorders>
            <w:vAlign w:val="center"/>
          </w:tcPr>
          <w:p>
            <w:pPr>
              <w:widowControl w:val="0"/>
              <w:jc w:val="both"/>
              <w:textAlignment w:val="auto"/>
              <w:rPr>
                <w:rFonts w:hint="eastAsia" w:ascii="仿宋_GB2312" w:hAnsi="仿宋_GB2312" w:eastAsia="仿宋_GB2312" w:cs="仿宋_GB2312"/>
                <w:b w:val="0"/>
                <w:bCs w:val="0"/>
                <w:i w:val="0"/>
                <w:color w:val="000000"/>
                <w:kern w:val="0"/>
                <w:sz w:val="24"/>
                <w:szCs w:val="24"/>
                <w:highlight w:val="yellow"/>
                <w:u w:val="none"/>
                <w:lang w:val="en-US" w:eastAsia="zh-CN" w:bidi="ar-SA"/>
              </w:rPr>
            </w:pPr>
            <w:r>
              <w:rPr>
                <w:rFonts w:hint="eastAsia" w:ascii="仿宋_GB2312" w:hAnsi="仿宋_GB2312" w:eastAsia="仿宋_GB2312" w:cs="仿宋_GB2312"/>
                <w:color w:val="000000"/>
                <w:kern w:val="0"/>
                <w:sz w:val="24"/>
                <w:highlight w:val="none"/>
              </w:rPr>
              <w:t>《外交部、中央外办、中央组织部、财政部关于进一步规范省部级以下国家工作人员因公临时出国的意见》</w:t>
            </w:r>
            <w:r>
              <w:rPr>
                <w:rFonts w:hint="eastAsia" w:ascii="仿宋_GB2312" w:hAnsi="仿宋_GB2312" w:eastAsia="仿宋_GB2312" w:cs="仿宋_GB2312"/>
                <w:color w:val="000000"/>
                <w:spacing w:val="-21"/>
                <w:kern w:val="0"/>
                <w:sz w:val="24"/>
                <w:highlight w:val="none"/>
              </w:rPr>
              <w:t>（中办发[2013]16号）</w:t>
            </w:r>
          </w:p>
        </w:tc>
        <w:tc>
          <w:tcPr>
            <w:tcW w:w="1903"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（4）审核监管企业主要领导人员</w:t>
            </w:r>
            <w:r>
              <w:rPr>
                <w:rFonts w:hint="eastAsia" w:ascii="仿宋_GB2312" w:hAnsi="仿宋_GB2312" w:eastAsia="仿宋_GB2312" w:cs="仿宋_GB2312"/>
                <w:b/>
                <w:bCs/>
                <w:i w:val="0"/>
                <w:color w:val="000000"/>
                <w:kern w:val="0"/>
                <w:sz w:val="24"/>
                <w:szCs w:val="24"/>
                <w:highlight w:val="none"/>
                <w:u w:val="none"/>
                <w:lang w:val="en-US" w:eastAsia="zh-CN" w:bidi="ar-SA"/>
              </w:rPr>
              <w:t>因公</w:t>
            </w:r>
            <w:r>
              <w:rPr>
                <w:rFonts w:hint="eastAsia" w:ascii="仿宋_GB2312" w:hAnsi="仿宋_GB2312" w:eastAsia="仿宋_GB2312" w:cs="仿宋_GB2312"/>
                <w:b w:val="0"/>
                <w:bCs w:val="0"/>
                <w:i w:val="0"/>
                <w:color w:val="000000"/>
                <w:kern w:val="0"/>
                <w:sz w:val="24"/>
                <w:szCs w:val="24"/>
                <w:highlight w:val="none"/>
                <w:u w:val="none"/>
                <w:lang w:val="en-US" w:eastAsia="zh-CN" w:bidi="ar-SA"/>
              </w:rPr>
              <w:t>出国（境）</w:t>
            </w:r>
          </w:p>
        </w:tc>
        <w:tc>
          <w:tcPr>
            <w:tcW w:w="2161"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监管企业主要领导人员</w:t>
            </w:r>
          </w:p>
        </w:tc>
        <w:tc>
          <w:tcPr>
            <w:tcW w:w="1290"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企业领导人员管理处（人事处）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47" w:hRule="atLeast"/>
        </w:trPr>
        <w:tc>
          <w:tcPr>
            <w:tcW w:w="546"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p>
        </w:tc>
        <w:tc>
          <w:tcPr>
            <w:tcW w:w="1447" w:type="dxa"/>
            <w:vMerge w:val="continue"/>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p>
        </w:tc>
        <w:tc>
          <w:tcPr>
            <w:tcW w:w="151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yellow"/>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《关于进一步做好我市县处级以上领导干部因私出国（境）管理工作的意见》（穗组字〔2007〕79号）</w:t>
            </w:r>
          </w:p>
        </w:tc>
        <w:tc>
          <w:tcPr>
            <w:tcW w:w="190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color w:val="000000"/>
                <w:sz w:val="24"/>
                <w:lang w:val="en-US" w:eastAsia="zh-CN"/>
              </w:rPr>
              <w:t>（5）审核</w:t>
            </w:r>
            <w:r>
              <w:rPr>
                <w:rFonts w:hint="eastAsia" w:ascii="仿宋_GB2312" w:hAnsi="仿宋_GB2312" w:eastAsia="仿宋_GB2312" w:cs="仿宋_GB2312"/>
                <w:b w:val="0"/>
                <w:bCs w:val="0"/>
                <w:color w:val="000000"/>
                <w:sz w:val="24"/>
              </w:rPr>
              <w:t>监管企业主要领导人员</w:t>
            </w:r>
            <w:r>
              <w:rPr>
                <w:rFonts w:hint="eastAsia" w:ascii="仿宋_GB2312" w:hAnsi="仿宋_GB2312" w:eastAsia="仿宋_GB2312" w:cs="仿宋_GB2312"/>
                <w:b w:val="0"/>
                <w:bCs w:val="0"/>
                <w:color w:val="000000"/>
                <w:sz w:val="24"/>
                <w:lang w:eastAsia="zh-CN"/>
              </w:rPr>
              <w:t>因私</w:t>
            </w:r>
            <w:r>
              <w:rPr>
                <w:rFonts w:hint="eastAsia" w:ascii="仿宋_GB2312" w:hAnsi="仿宋_GB2312" w:eastAsia="仿宋_GB2312" w:cs="仿宋_GB2312"/>
                <w:b w:val="0"/>
                <w:bCs w:val="0"/>
                <w:color w:val="000000"/>
                <w:sz w:val="24"/>
              </w:rPr>
              <w:t>出国（境）</w:t>
            </w:r>
          </w:p>
        </w:tc>
        <w:tc>
          <w:tcPr>
            <w:tcW w:w="2161"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监管企业主要领导人员</w:t>
            </w:r>
          </w:p>
        </w:tc>
        <w:tc>
          <w:tcPr>
            <w:tcW w:w="1290"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企业领导人员管理处（人事处）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4</w:t>
            </w: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国有控股上市公司股权激励年度实施结果备案</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《国务院国有资产监督管理委员会、财政部关于印发&lt;国有控股上市公司(境外)实施股权激励试行办法&gt;的通知》（国资发分配〔2006〕8号）</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 xml:space="preserve"> </w:t>
            </w:r>
          </w:p>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color w:val="000000"/>
                <w:kern w:val="0"/>
                <w:sz w:val="24"/>
              </w:rPr>
              <w:t>《国务院国有资产监督管理委员会、财政部关于印发&lt;国有控股上市公司(境内)实施股权激励试行办法&gt;的通知》（国资发分配〔2006〕175号</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 xml:space="preserve"> </w:t>
            </w:r>
          </w:p>
        </w:tc>
        <w:tc>
          <w:tcPr>
            <w:tcW w:w="19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（6）国有控股上市公司股权激励年度实施结果备案</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监管企业及各级子企业中的国有控股上市公司</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考核分配处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5</w:t>
            </w: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监管企业负责人履职待遇和业务支出情况备案</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《中共广州市委办公厅 广州市人民政府办公厅关于合理确定并严格规范市属国有企业负责人履职待遇、业务支出的意见》（穗办〔2015〕4号）</w:t>
            </w:r>
          </w:p>
        </w:tc>
        <w:tc>
          <w:tcPr>
            <w:tcW w:w="19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（7）监管企业负责人履职待遇和业务支出情况备案</w:t>
            </w:r>
          </w:p>
          <w:p>
            <w:pPr>
              <w:widowControl/>
              <w:numPr>
                <w:ilvl w:val="0"/>
                <w:numId w:val="0"/>
              </w:numPr>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监管企业</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考核分配处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9"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6</w:t>
            </w:r>
          </w:p>
        </w:tc>
        <w:tc>
          <w:tcPr>
            <w:tcW w:w="14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国家出资企业产权及其分布状况的登记</w:t>
            </w:r>
          </w:p>
        </w:tc>
        <w:tc>
          <w:tcPr>
            <w:tcW w:w="15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《企业国有资产产权登记管理办法》（国务院令第192号）</w:t>
            </w:r>
          </w:p>
        </w:tc>
        <w:tc>
          <w:tcPr>
            <w:tcW w:w="19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（8）国家出资企业产权及其分布状况的登记</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监管企业及各级子企业</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产权管理处</w:t>
            </w:r>
          </w:p>
        </w:tc>
      </w:tr>
    </w:tbl>
    <w:tbl>
      <w:tblPr>
        <w:tblStyle w:val="3"/>
        <w:tblpPr w:leftFromText="180" w:rightFromText="180" w:vertAnchor="text" w:horzAnchor="page" w:tblpX="1564" w:tblpY="751"/>
        <w:tblOverlap w:val="never"/>
        <w:tblW w:w="9226" w:type="dxa"/>
        <w:tblInd w:w="0" w:type="dxa"/>
        <w:tblLayout w:type="fixed"/>
        <w:tblCellMar>
          <w:top w:w="15" w:type="dxa"/>
          <w:left w:w="15" w:type="dxa"/>
          <w:bottom w:w="15" w:type="dxa"/>
          <w:right w:w="15" w:type="dxa"/>
        </w:tblCellMar>
      </w:tblPr>
      <w:tblGrid>
        <w:gridCol w:w="706"/>
        <w:gridCol w:w="6405"/>
        <w:gridCol w:w="2115"/>
      </w:tblGrid>
      <w:tr>
        <w:tblPrEx>
          <w:tblLayout w:type="fixed"/>
          <w:tblCellMar>
            <w:top w:w="15" w:type="dxa"/>
            <w:left w:w="15" w:type="dxa"/>
            <w:bottom w:w="15" w:type="dxa"/>
            <w:right w:w="15" w:type="dxa"/>
          </w:tblCellMar>
        </w:tblPrEx>
        <w:trPr>
          <w:trHeight w:val="735" w:hRule="atLeast"/>
        </w:trPr>
        <w:tc>
          <w:tcPr>
            <w:tcW w:w="9226"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b/>
                <w:color w:val="000000"/>
                <w:sz w:val="28"/>
                <w:szCs w:val="28"/>
              </w:rPr>
            </w:pPr>
          </w:p>
          <w:p>
            <w:pPr>
              <w:spacing w:line="360" w:lineRule="exact"/>
              <w:jc w:val="left"/>
              <w:rPr>
                <w:rFonts w:hint="default" w:ascii="Times New Roman" w:hAnsi="Times New Roman" w:eastAsia="仿宋_GB2312" w:cs="Times New Roman"/>
                <w:b/>
                <w:color w:val="000000"/>
                <w:sz w:val="28"/>
                <w:szCs w:val="28"/>
              </w:rPr>
            </w:pPr>
            <w:bookmarkStart w:id="0" w:name="_GoBack"/>
            <w:bookmarkEnd w:id="0"/>
            <w:r>
              <w:rPr>
                <w:rFonts w:hint="default" w:ascii="Times New Roman" w:hAnsi="Times New Roman" w:eastAsia="仿宋_GB2312" w:cs="Times New Roman"/>
                <w:b/>
                <w:color w:val="000000"/>
                <w:sz w:val="28"/>
                <w:szCs w:val="28"/>
              </w:rPr>
              <w:t>一、对各直接监管企业的授权放权事项</w:t>
            </w:r>
          </w:p>
        </w:tc>
      </w:tr>
      <w:tr>
        <w:tblPrEx>
          <w:tblLayout w:type="fixed"/>
          <w:tblCellMar>
            <w:top w:w="15" w:type="dxa"/>
            <w:left w:w="15" w:type="dxa"/>
            <w:bottom w:w="15" w:type="dxa"/>
            <w:right w:w="15" w:type="dxa"/>
          </w:tblCellMar>
        </w:tblPrEx>
        <w:trPr>
          <w:trHeight w:val="435"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序号</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事项</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Times New Roman" w:hAnsi="Times New Roman" w:eastAsia="宋体" w:cs="Times New Roman"/>
                <w:b/>
                <w:color w:val="000000"/>
                <w:sz w:val="24"/>
                <w:szCs w:val="24"/>
                <w:lang w:eastAsia="zh-CN"/>
              </w:rPr>
            </w:pPr>
            <w:r>
              <w:rPr>
                <w:rFonts w:hint="eastAsia" w:ascii="Times New Roman" w:hAnsi="Times New Roman" w:cs="Times New Roman"/>
                <w:b/>
                <w:color w:val="000000"/>
                <w:sz w:val="24"/>
                <w:szCs w:val="24"/>
                <w:lang w:val="en-US" w:eastAsia="zh-CN"/>
              </w:rPr>
              <w:t>监督</w:t>
            </w:r>
            <w:r>
              <w:rPr>
                <w:rFonts w:hint="eastAsia" w:ascii="Times New Roman" w:hAnsi="Times New Roman" w:eastAsia="宋体" w:cs="Times New Roman"/>
                <w:b/>
                <w:color w:val="000000"/>
                <w:sz w:val="24"/>
                <w:szCs w:val="24"/>
                <w:lang w:eastAsia="zh-CN"/>
              </w:rPr>
              <w:t>处室</w:t>
            </w:r>
          </w:p>
        </w:tc>
      </w:tr>
      <w:tr>
        <w:tblPrEx>
          <w:tblLayout w:type="fixed"/>
          <w:tblCellMar>
            <w:top w:w="15" w:type="dxa"/>
            <w:left w:w="15" w:type="dxa"/>
            <w:bottom w:w="15" w:type="dxa"/>
            <w:right w:w="15" w:type="dxa"/>
          </w:tblCellMar>
        </w:tblPrEx>
        <w:trPr>
          <w:trHeight w:val="90"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直接监管企业决定国有参股非上市企业与非国有控股上市公司的资产重组事项。</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4"/>
                <w:szCs w:val="24"/>
              </w:rPr>
            </w:pPr>
            <w:r>
              <w:rPr>
                <w:rFonts w:hint="eastAsia" w:ascii="仿宋_GB2312" w:hAnsi="仿宋_GB2312" w:eastAsia="仿宋_GB2312" w:cs="仿宋_GB2312"/>
                <w:i w:val="0"/>
                <w:color w:val="000000"/>
                <w:kern w:val="0"/>
                <w:sz w:val="24"/>
                <w:szCs w:val="24"/>
                <w:u w:val="none"/>
                <w:lang w:val="en-US" w:eastAsia="zh-CN" w:bidi="ar-SA"/>
              </w:rPr>
              <w:t>资本运营与收益管理处</w:t>
            </w:r>
          </w:p>
        </w:tc>
      </w:tr>
      <w:tr>
        <w:tblPrEx>
          <w:tblLayout w:type="fixed"/>
          <w:tblCellMar>
            <w:top w:w="15" w:type="dxa"/>
            <w:left w:w="15" w:type="dxa"/>
            <w:bottom w:w="15" w:type="dxa"/>
            <w:right w:w="15" w:type="dxa"/>
          </w:tblCellMar>
        </w:tblPrEx>
        <w:trPr>
          <w:trHeight w:val="850"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直接监管企业审批国有股东所持有上市公司股份在集团内部的无偿划转、非公开协议转让事项。</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资本运营与收益管理处、</w:t>
            </w:r>
          </w:p>
          <w:p>
            <w:pPr>
              <w:spacing w:line="360" w:lineRule="exact"/>
              <w:jc w:val="center"/>
              <w:rPr>
                <w:rFonts w:hint="default" w:ascii="Times New Roman" w:hAnsi="Times New Roman" w:eastAsia="仿宋_GB2312" w:cs="Times New Roman"/>
                <w:color w:val="000000"/>
                <w:sz w:val="24"/>
                <w:szCs w:val="24"/>
              </w:rPr>
            </w:pPr>
            <w:r>
              <w:rPr>
                <w:rFonts w:hint="eastAsia" w:ascii="仿宋_GB2312" w:hAnsi="仿宋_GB2312" w:eastAsia="仿宋_GB2312" w:cs="仿宋_GB2312"/>
                <w:i w:val="0"/>
                <w:color w:val="000000"/>
                <w:kern w:val="0"/>
                <w:sz w:val="24"/>
                <w:szCs w:val="24"/>
                <w:u w:val="none"/>
                <w:lang w:val="en-US" w:eastAsia="zh-CN" w:bidi="ar-SA"/>
              </w:rPr>
              <w:t>产权管理处</w:t>
            </w:r>
          </w:p>
        </w:tc>
      </w:tr>
      <w:tr>
        <w:tblPrEx>
          <w:tblLayout w:type="fixed"/>
          <w:tblCellMar>
            <w:top w:w="15" w:type="dxa"/>
            <w:left w:w="15" w:type="dxa"/>
            <w:bottom w:w="15" w:type="dxa"/>
            <w:right w:w="15" w:type="dxa"/>
          </w:tblCellMar>
        </w:tblPrEx>
        <w:trPr>
          <w:trHeight w:val="90"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直接监管企业决定集团及</w:t>
            </w:r>
            <w:r>
              <w:rPr>
                <w:rFonts w:hint="eastAsia" w:ascii="Times New Roman" w:hAnsi="Times New Roman" w:eastAsia="仿宋_GB2312" w:cs="Times New Roman"/>
                <w:color w:val="000000"/>
                <w:sz w:val="24"/>
                <w:szCs w:val="24"/>
                <w:lang w:eastAsia="zh-CN"/>
              </w:rPr>
              <w:t>其</w:t>
            </w:r>
            <w:r>
              <w:rPr>
                <w:rFonts w:hint="default" w:ascii="Times New Roman" w:hAnsi="Times New Roman" w:eastAsia="仿宋_GB2312" w:cs="Times New Roman"/>
                <w:color w:val="000000"/>
                <w:sz w:val="24"/>
                <w:szCs w:val="24"/>
                <w:lang w:eastAsia="zh-CN"/>
              </w:rPr>
              <w:t>子企业以非公开协议方式参与本集团其他子企业的增资行为及相应的资产评估</w:t>
            </w:r>
            <w:r>
              <w:rPr>
                <w:rFonts w:hint="eastAsia" w:ascii="Times New Roman" w:hAnsi="Times New Roman" w:eastAsia="仿宋_GB2312" w:cs="Times New Roman"/>
                <w:color w:val="000000"/>
                <w:sz w:val="24"/>
                <w:szCs w:val="24"/>
                <w:lang w:eastAsia="zh-CN"/>
              </w:rPr>
              <w:t>报告备案</w:t>
            </w:r>
            <w:r>
              <w:rPr>
                <w:rFonts w:hint="default" w:ascii="Times New Roman" w:hAnsi="Times New Roman" w:eastAsia="仿宋_GB2312" w:cs="Times New Roman"/>
                <w:color w:val="000000"/>
                <w:sz w:val="24"/>
                <w:szCs w:val="24"/>
                <w:lang w:eastAsia="zh-CN"/>
              </w:rPr>
              <w:t>（主业处于关系国家安全、国民经济命脉的重要行业和关键领域，主要承担重大专项任务的子企业除外）。</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i w:val="0"/>
                <w:color w:val="000000"/>
                <w:kern w:val="0"/>
                <w:sz w:val="24"/>
                <w:szCs w:val="24"/>
                <w:u w:val="none"/>
                <w:lang w:val="en-US" w:eastAsia="zh-CN" w:bidi="ar-SA"/>
              </w:rPr>
              <w:t>产权管理处</w:t>
            </w:r>
          </w:p>
        </w:tc>
      </w:tr>
      <w:tr>
        <w:tblPrEx>
          <w:tblLayout w:type="fixed"/>
          <w:tblCellMar>
            <w:top w:w="15" w:type="dxa"/>
            <w:left w:w="15" w:type="dxa"/>
            <w:bottom w:w="15" w:type="dxa"/>
            <w:right w:w="15" w:type="dxa"/>
          </w:tblCellMar>
        </w:tblPrEx>
        <w:trPr>
          <w:trHeight w:val="764"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直接监管企业审批国有参股股东所持有上市公司国有股权公开征集转让、发行可交换公司债券事项</w:t>
            </w:r>
            <w:r>
              <w:rPr>
                <w:rFonts w:hint="default" w:ascii="Times New Roman" w:hAnsi="Times New Roman" w:eastAsia="仿宋_GB2312" w:cs="Times New Roman"/>
                <w:color w:val="000000"/>
                <w:sz w:val="24"/>
                <w:szCs w:val="24"/>
                <w:lang w:eastAsia="zh-CN"/>
              </w:rPr>
              <w:t>。</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资本运营与收益管理处、</w:t>
            </w:r>
          </w:p>
          <w:p>
            <w:pPr>
              <w:spacing w:line="360" w:lineRule="exact"/>
              <w:jc w:val="center"/>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i w:val="0"/>
                <w:color w:val="000000"/>
                <w:kern w:val="0"/>
                <w:sz w:val="24"/>
                <w:szCs w:val="24"/>
                <w:u w:val="none"/>
                <w:lang w:val="en-US" w:eastAsia="zh-CN" w:bidi="ar-SA"/>
              </w:rPr>
              <w:t>产权管理处</w:t>
            </w:r>
          </w:p>
        </w:tc>
      </w:tr>
      <w:tr>
        <w:tblPrEx>
          <w:tblLayout w:type="fixed"/>
          <w:tblCellMar>
            <w:top w:w="15" w:type="dxa"/>
            <w:left w:w="15" w:type="dxa"/>
            <w:bottom w:w="15" w:type="dxa"/>
            <w:right w:w="15" w:type="dxa"/>
          </w:tblCellMar>
        </w:tblPrEx>
        <w:trPr>
          <w:trHeight w:val="1568"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5</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rPr>
              <w:t>直接监管企业审批未导致上市公司控股权转移的国有股东通过证券交易系统增持、 协议受让、 认购上市公司发行股票等事项， 投资事项应符合市国资委关于监管企业投资监督管理有关规定</w:t>
            </w:r>
            <w:r>
              <w:rPr>
                <w:rFonts w:hint="default" w:ascii="Times New Roman" w:hAnsi="Times New Roman" w:eastAsia="仿宋_GB2312" w:cs="Times New Roman"/>
                <w:color w:val="000000"/>
                <w:sz w:val="24"/>
                <w:szCs w:val="24"/>
              </w:rPr>
              <w:t>。</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4"/>
                <w:szCs w:val="24"/>
              </w:rPr>
            </w:pPr>
            <w:r>
              <w:rPr>
                <w:rFonts w:hint="eastAsia" w:ascii="仿宋_GB2312" w:hAnsi="仿宋_GB2312" w:eastAsia="仿宋_GB2312" w:cs="仿宋_GB2312"/>
                <w:i w:val="0"/>
                <w:color w:val="000000"/>
                <w:kern w:val="0"/>
                <w:sz w:val="24"/>
                <w:szCs w:val="24"/>
                <w:u w:val="none"/>
                <w:lang w:val="en-US" w:eastAsia="zh-CN" w:bidi="ar-SA"/>
              </w:rPr>
              <w:t>资本运营与收益管理处</w:t>
            </w:r>
          </w:p>
        </w:tc>
      </w:tr>
      <w:tr>
        <w:tblPrEx>
          <w:tblLayout w:type="fixed"/>
          <w:tblCellMar>
            <w:top w:w="15" w:type="dxa"/>
            <w:left w:w="15" w:type="dxa"/>
            <w:bottom w:w="15" w:type="dxa"/>
            <w:right w:w="15" w:type="dxa"/>
          </w:tblCellMar>
        </w:tblPrEx>
        <w:trPr>
          <w:trHeight w:val="774"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直接监管企业审批未触及证监会规定的重大资产重组标准的国有股东与所控股上市公司进行资产重组事项。</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4"/>
                <w:szCs w:val="24"/>
              </w:rPr>
            </w:pPr>
            <w:r>
              <w:rPr>
                <w:rFonts w:hint="eastAsia" w:ascii="仿宋_GB2312" w:hAnsi="仿宋_GB2312" w:eastAsia="仿宋_GB2312" w:cs="仿宋_GB2312"/>
                <w:i w:val="0"/>
                <w:color w:val="000000"/>
                <w:kern w:val="0"/>
                <w:sz w:val="24"/>
                <w:szCs w:val="24"/>
                <w:u w:val="none"/>
                <w:lang w:val="en-US" w:eastAsia="zh-CN" w:bidi="ar-SA"/>
              </w:rPr>
              <w:t>资本运营与收益管理处</w:t>
            </w:r>
          </w:p>
        </w:tc>
      </w:tr>
      <w:tr>
        <w:tblPrEx>
          <w:tblLayout w:type="fixed"/>
          <w:tblCellMar>
            <w:top w:w="15" w:type="dxa"/>
            <w:left w:w="15" w:type="dxa"/>
            <w:bottom w:w="15" w:type="dxa"/>
            <w:right w:w="15" w:type="dxa"/>
          </w:tblCellMar>
        </w:tblPrEx>
        <w:trPr>
          <w:trHeight w:val="1147"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7</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直接监管企业审批国有股东通过证券交易系统转让一定比例或数量范围内所持有上市公司股份事项，同时应符合国有控股股东持股比例不低于合理持股比例的要求。</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4"/>
                <w:szCs w:val="24"/>
              </w:rPr>
            </w:pPr>
            <w:r>
              <w:rPr>
                <w:rFonts w:hint="eastAsia" w:ascii="仿宋_GB2312" w:hAnsi="仿宋_GB2312" w:eastAsia="仿宋_GB2312" w:cs="仿宋_GB2312"/>
                <w:i w:val="0"/>
                <w:color w:val="000000"/>
                <w:kern w:val="0"/>
                <w:sz w:val="24"/>
                <w:szCs w:val="24"/>
                <w:u w:val="none"/>
                <w:lang w:val="en-US" w:eastAsia="zh-CN" w:bidi="ar-SA"/>
              </w:rPr>
              <w:t>资本运营与收益管理处</w:t>
            </w:r>
          </w:p>
        </w:tc>
      </w:tr>
      <w:tr>
        <w:tblPrEx>
          <w:tblLayout w:type="fixed"/>
          <w:tblCellMar>
            <w:top w:w="15" w:type="dxa"/>
            <w:left w:w="15" w:type="dxa"/>
            <w:bottom w:w="15" w:type="dxa"/>
            <w:right w:w="15" w:type="dxa"/>
          </w:tblCellMar>
        </w:tblPrEx>
        <w:trPr>
          <w:trHeight w:val="1139"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8</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直接监管企业审批未导致国有控股股东持股比例低于合理持股比例的公开征集转让、发行可交换公司债券及所控股上市公司发行证券事项。</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4"/>
                <w:szCs w:val="24"/>
              </w:rPr>
            </w:pPr>
            <w:r>
              <w:rPr>
                <w:rFonts w:hint="eastAsia" w:ascii="仿宋_GB2312" w:hAnsi="仿宋_GB2312" w:eastAsia="仿宋_GB2312" w:cs="仿宋_GB2312"/>
                <w:i w:val="0"/>
                <w:color w:val="000000"/>
                <w:kern w:val="0"/>
                <w:sz w:val="24"/>
                <w:szCs w:val="24"/>
                <w:u w:val="none"/>
                <w:lang w:val="en-US" w:eastAsia="zh-CN" w:bidi="ar-SA"/>
              </w:rPr>
              <w:t>资本运营与收益管理处</w:t>
            </w:r>
          </w:p>
        </w:tc>
      </w:tr>
      <w:tr>
        <w:tblPrEx>
          <w:tblLayout w:type="fixed"/>
          <w:tblCellMar>
            <w:top w:w="15" w:type="dxa"/>
            <w:left w:w="15" w:type="dxa"/>
            <w:bottom w:w="15" w:type="dxa"/>
            <w:right w:w="15" w:type="dxa"/>
          </w:tblCellMar>
        </w:tblPrEx>
        <w:trPr>
          <w:trHeight w:val="554"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9</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授权直接监管企业决定公司发行短期债券和子企业发行各类债券等部分债券类融资事项。</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4"/>
                <w:szCs w:val="24"/>
              </w:rPr>
            </w:pPr>
            <w:r>
              <w:rPr>
                <w:rFonts w:hint="eastAsia" w:ascii="仿宋_GB2312" w:hAnsi="仿宋_GB2312" w:eastAsia="仿宋_GB2312" w:cs="仿宋_GB2312"/>
                <w:i w:val="0"/>
                <w:color w:val="000000"/>
                <w:kern w:val="0"/>
                <w:sz w:val="24"/>
                <w:szCs w:val="24"/>
                <w:u w:val="none"/>
                <w:lang w:val="en-US" w:eastAsia="zh-CN" w:bidi="ar-SA"/>
              </w:rPr>
              <w:t>财务监管与经济运行处</w:t>
            </w:r>
          </w:p>
        </w:tc>
      </w:tr>
      <w:tr>
        <w:tblPrEx>
          <w:tblLayout w:type="fixed"/>
          <w:tblCellMar>
            <w:top w:w="15" w:type="dxa"/>
            <w:left w:w="15" w:type="dxa"/>
            <w:bottom w:w="15" w:type="dxa"/>
            <w:right w:w="15" w:type="dxa"/>
          </w:tblCellMar>
        </w:tblPrEx>
        <w:trPr>
          <w:trHeight w:val="554"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10</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支持直接监管企业子企业按照</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rPr>
              <w:t>市场化选聘、契约化管理、差异化薪酬、市场化退出</w:t>
            </w:r>
            <w:r>
              <w:rPr>
                <w:rFonts w:hint="eastAsia"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的原则，采取公开遴选、竞聘上岗、公开招聘、委托推荐等市场化方式选聘职业经理人，合理增加市场化选聘比例，加快建立职业经理人制度。</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企业领导人员管理处（人事处）</w:t>
            </w:r>
          </w:p>
        </w:tc>
      </w:tr>
      <w:tr>
        <w:tblPrEx>
          <w:tblLayout w:type="fixed"/>
          <w:tblCellMar>
            <w:top w:w="15" w:type="dxa"/>
            <w:left w:w="15" w:type="dxa"/>
            <w:bottom w:w="15" w:type="dxa"/>
            <w:right w:w="15" w:type="dxa"/>
          </w:tblCellMar>
        </w:tblPrEx>
        <w:trPr>
          <w:trHeight w:val="1116"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11</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支持直接监管企业子企业市场化选聘的职业经理人实行市场化薪酬分配制度，薪酬总水平由相应子企业的董事会根据国家相关政策，参考境内市场同类可比人员薪酬价位，统筹考虑企业发展战略、经营目标及成效、薪酬策略等因素，与职业经理人协商确定，可以采取多种方式探索完善中长期激励机制。</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4"/>
                <w:szCs w:val="24"/>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考核分配处</w:t>
            </w:r>
          </w:p>
        </w:tc>
      </w:tr>
      <w:tr>
        <w:tblPrEx>
          <w:tblLayout w:type="fixed"/>
          <w:tblCellMar>
            <w:top w:w="15" w:type="dxa"/>
            <w:left w:w="15" w:type="dxa"/>
            <w:bottom w:w="15" w:type="dxa"/>
            <w:right w:w="15" w:type="dxa"/>
          </w:tblCellMar>
        </w:tblPrEx>
        <w:trPr>
          <w:trHeight w:val="715"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12</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对竞争类和金融类直接监管企业实行工资总额预算备案制管理。</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考核分配处</w:t>
            </w:r>
          </w:p>
        </w:tc>
      </w:tr>
      <w:tr>
        <w:tblPrEx>
          <w:tblLayout w:type="fixed"/>
          <w:tblCellMar>
            <w:top w:w="15" w:type="dxa"/>
            <w:left w:w="15" w:type="dxa"/>
            <w:bottom w:w="15" w:type="dxa"/>
            <w:right w:w="15" w:type="dxa"/>
          </w:tblCellMar>
        </w:tblPrEx>
        <w:trPr>
          <w:trHeight w:val="1846"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3</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直接监管企业审批所属</w:t>
            </w:r>
            <w:r>
              <w:rPr>
                <w:rFonts w:hint="eastAsia" w:ascii="Times New Roman" w:hAnsi="Times New Roman" w:eastAsia="仿宋_GB2312" w:cs="Times New Roman"/>
                <w:color w:val="000000"/>
                <w:sz w:val="24"/>
                <w:szCs w:val="24"/>
                <w:lang w:eastAsia="zh-CN"/>
              </w:rPr>
              <w:t>非上市</w:t>
            </w:r>
            <w:r>
              <w:rPr>
                <w:rFonts w:hint="default" w:ascii="Times New Roman" w:hAnsi="Times New Roman" w:eastAsia="仿宋_GB2312" w:cs="Times New Roman"/>
                <w:color w:val="000000"/>
                <w:sz w:val="24"/>
                <w:szCs w:val="24"/>
              </w:rPr>
              <w:t>科技型子企业股权和分红激励方案，企业实施分红激励所需支出计入工资总额，但不受当年本单位工资总额限制、不纳入本单位工资总额基数，不作为企业职工教育经费、工会经费、社会保险费、补充养老及补充医疗保险费、住房公积金等的计提依据。</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eastAsia="zh-CN"/>
              </w:rPr>
              <w:t>考核分配处</w:t>
            </w:r>
          </w:p>
        </w:tc>
      </w:tr>
      <w:tr>
        <w:tblPrEx>
          <w:tblLayout w:type="fixed"/>
          <w:tblCellMar>
            <w:top w:w="15" w:type="dxa"/>
            <w:left w:w="15" w:type="dxa"/>
            <w:bottom w:w="15" w:type="dxa"/>
            <w:right w:w="15" w:type="dxa"/>
          </w:tblCellMar>
        </w:tblPrEx>
        <w:trPr>
          <w:trHeight w:val="440"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14</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直接监管企业集团年金总体方案报备案，直接监管企业审批子企业制定的具体年金实施方案</w:t>
            </w:r>
            <w:r>
              <w:rPr>
                <w:rFonts w:hint="default" w:ascii="Times New Roman" w:hAnsi="Times New Roman" w:eastAsia="仿宋_GB2312" w:cs="Times New Roman"/>
                <w:color w:val="000000"/>
                <w:sz w:val="24"/>
                <w:szCs w:val="24"/>
                <w:lang w:eastAsia="zh-CN"/>
              </w:rPr>
              <w:t>。</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考核分配处</w:t>
            </w:r>
          </w:p>
        </w:tc>
      </w:tr>
      <w:tr>
        <w:tblPrEx>
          <w:tblLayout w:type="fixed"/>
          <w:tblCellMar>
            <w:top w:w="15" w:type="dxa"/>
            <w:left w:w="15" w:type="dxa"/>
            <w:bottom w:w="15" w:type="dxa"/>
            <w:right w:w="15" w:type="dxa"/>
          </w:tblCellMar>
        </w:tblPrEx>
        <w:trPr>
          <w:trHeight w:val="440"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5</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支持直接监管企业在符合条件的子企业开展多种形式的股权激励，股权激励的实际收益水平，不与员工个人薪酬总水平挂钩，不纳入本单位工资总额基数。</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eastAsia="zh-CN"/>
              </w:rPr>
              <w:t>考核分配处</w:t>
            </w:r>
          </w:p>
        </w:tc>
      </w:tr>
      <w:tr>
        <w:tblPrEx>
          <w:tblLayout w:type="fixed"/>
          <w:tblCellMar>
            <w:top w:w="15" w:type="dxa"/>
            <w:left w:w="15" w:type="dxa"/>
            <w:bottom w:w="15" w:type="dxa"/>
            <w:right w:w="15" w:type="dxa"/>
          </w:tblCellMar>
        </w:tblPrEx>
        <w:trPr>
          <w:trHeight w:val="825"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16</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eastAsia="zh-CN"/>
              </w:rPr>
              <w:t>授权</w:t>
            </w:r>
            <w:r>
              <w:rPr>
                <w:rFonts w:hint="default" w:ascii="Times New Roman" w:hAnsi="Times New Roman" w:eastAsia="仿宋_GB2312" w:cs="Times New Roman"/>
                <w:color w:val="000000"/>
                <w:sz w:val="24"/>
                <w:szCs w:val="24"/>
              </w:rPr>
              <w:t>直接监管企业决定企业及其各级子企业超股比担保事项（对参股企业超股比担保除外）。</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b w:val="0"/>
                <w:bCs w:val="0"/>
                <w:i w:val="0"/>
                <w:color w:val="000000"/>
                <w:kern w:val="0"/>
                <w:sz w:val="24"/>
                <w:szCs w:val="24"/>
                <w:u w:val="none"/>
                <w:lang w:val="en-US" w:eastAsia="zh-CN" w:bidi="ar-SA"/>
              </w:rPr>
              <w:t>政策法规处</w:t>
            </w:r>
          </w:p>
        </w:tc>
      </w:tr>
      <w:tr>
        <w:tblPrEx>
          <w:tblLayout w:type="fixed"/>
          <w:tblCellMar>
            <w:top w:w="15" w:type="dxa"/>
            <w:left w:w="15" w:type="dxa"/>
            <w:bottom w:w="15" w:type="dxa"/>
            <w:right w:w="15" w:type="dxa"/>
          </w:tblCellMar>
        </w:tblPrEx>
        <w:trPr>
          <w:trHeight w:val="1085"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17</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eastAsia="zh-CN"/>
              </w:rPr>
              <w:t>授权</w:t>
            </w:r>
            <w:r>
              <w:rPr>
                <w:rFonts w:hint="default" w:ascii="Times New Roman" w:hAnsi="Times New Roman" w:eastAsia="仿宋_GB2312" w:cs="Times New Roman"/>
                <w:color w:val="000000"/>
                <w:sz w:val="24"/>
                <w:szCs w:val="24"/>
              </w:rPr>
              <w:t>直接监管企业决定一定限额内的境外项目投资。对</w:t>
            </w:r>
            <w:r>
              <w:rPr>
                <w:rFonts w:hint="eastAsia" w:ascii="Times New Roman" w:hAnsi="Times New Roman" w:eastAsia="仿宋_GB2312" w:cs="Times New Roman"/>
                <w:color w:val="000000"/>
                <w:sz w:val="24"/>
                <w:szCs w:val="24"/>
                <w:lang w:eastAsia="zh-CN"/>
              </w:rPr>
              <w:t>直接监管企业中的特定</w:t>
            </w:r>
            <w:r>
              <w:rPr>
                <w:rFonts w:hint="eastAsia" w:ascii="Times New Roman" w:hAnsi="Times New Roman" w:eastAsia="仿宋_GB2312" w:cs="Times New Roman"/>
                <w:color w:val="000000"/>
                <w:sz w:val="24"/>
                <w:szCs w:val="24"/>
                <w:lang w:val="en-US" w:eastAsia="zh-CN"/>
              </w:rPr>
              <w:t>企业，</w:t>
            </w:r>
            <w:r>
              <w:rPr>
                <w:rFonts w:hint="default" w:ascii="Times New Roman" w:hAnsi="Times New Roman" w:eastAsia="仿宋_GB2312" w:cs="Times New Roman"/>
                <w:color w:val="000000"/>
                <w:sz w:val="24"/>
                <w:szCs w:val="24"/>
              </w:rPr>
              <w:t>在</w:t>
            </w:r>
            <w:r>
              <w:rPr>
                <w:rFonts w:hint="eastAsia" w:ascii="Times New Roman" w:hAnsi="Times New Roman" w:eastAsia="仿宋_GB2312" w:cs="Times New Roman"/>
                <w:color w:val="000000"/>
                <w:sz w:val="24"/>
                <w:szCs w:val="24"/>
                <w:lang w:eastAsia="zh-CN"/>
              </w:rPr>
              <w:t>香港、澳门</w:t>
            </w:r>
            <w:r>
              <w:rPr>
                <w:rFonts w:hint="default" w:ascii="Times New Roman" w:hAnsi="Times New Roman" w:eastAsia="仿宋_GB2312" w:cs="Times New Roman"/>
                <w:color w:val="000000"/>
                <w:sz w:val="24"/>
                <w:szCs w:val="24"/>
              </w:rPr>
              <w:t>地区开展并形成当地有</w:t>
            </w:r>
            <w:r>
              <w:rPr>
                <w:rFonts w:hint="eastAsia" w:ascii="Times New Roman" w:hAnsi="Times New Roman" w:eastAsia="仿宋_GB2312" w:cs="Times New Roman"/>
                <w:color w:val="000000"/>
                <w:sz w:val="24"/>
                <w:szCs w:val="24"/>
                <w:lang w:eastAsia="zh-CN"/>
              </w:rPr>
              <w:t>效</w:t>
            </w:r>
            <w:r>
              <w:rPr>
                <w:rFonts w:hint="default" w:ascii="Times New Roman" w:hAnsi="Times New Roman" w:eastAsia="仿宋_GB2312" w:cs="Times New Roman"/>
                <w:color w:val="000000"/>
                <w:sz w:val="24"/>
                <w:szCs w:val="24"/>
              </w:rPr>
              <w:t>资产的投资，市国资委授权</w:t>
            </w:r>
            <w:r>
              <w:rPr>
                <w:rFonts w:hint="eastAsia" w:ascii="Times New Roman" w:hAnsi="Times New Roman" w:eastAsia="仿宋_GB2312" w:cs="Times New Roman"/>
                <w:color w:val="000000"/>
                <w:sz w:val="24"/>
                <w:szCs w:val="24"/>
                <w:lang w:eastAsia="zh-CN"/>
              </w:rPr>
              <w:t>相关直接监管企业董事会决策</w:t>
            </w:r>
            <w:r>
              <w:rPr>
                <w:rFonts w:hint="default" w:ascii="Times New Roman" w:hAnsi="Times New Roman" w:eastAsia="仿宋_GB2312" w:cs="Times New Roman"/>
                <w:color w:val="000000"/>
                <w:sz w:val="24"/>
                <w:szCs w:val="24"/>
              </w:rPr>
              <w:t>。</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eastAsia="zh-CN"/>
              </w:rPr>
              <w:t>规划发展处</w:t>
            </w:r>
          </w:p>
        </w:tc>
      </w:tr>
      <w:tr>
        <w:tblPrEx>
          <w:tblLayout w:type="fixed"/>
          <w:tblCellMar>
            <w:top w:w="15" w:type="dxa"/>
            <w:left w:w="15" w:type="dxa"/>
            <w:bottom w:w="15" w:type="dxa"/>
            <w:right w:w="15" w:type="dxa"/>
          </w:tblCellMar>
        </w:tblPrEx>
        <w:trPr>
          <w:trHeight w:val="805"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18</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eastAsia="zh-CN"/>
              </w:rPr>
              <w:t>授权</w:t>
            </w:r>
            <w:r>
              <w:rPr>
                <w:rFonts w:hint="default" w:ascii="Times New Roman" w:hAnsi="Times New Roman" w:eastAsia="仿宋_GB2312" w:cs="Times New Roman"/>
                <w:color w:val="000000"/>
                <w:sz w:val="24"/>
                <w:szCs w:val="24"/>
              </w:rPr>
              <w:t>直接监管企业决定市属国资系统内企业间相互参与公开资本市场首次发行股票或定向增发项目。</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规划发展处、</w:t>
            </w:r>
          </w:p>
          <w:p>
            <w:pPr>
              <w:spacing w:line="360" w:lineRule="exact"/>
              <w:jc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企业改革处、</w:t>
            </w:r>
          </w:p>
          <w:p>
            <w:pPr>
              <w:spacing w:line="360" w:lineRule="exact"/>
              <w:jc w:val="center"/>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eastAsia="zh-CN"/>
              </w:rPr>
              <w:t>资本运营与收益管理处</w:t>
            </w:r>
          </w:p>
        </w:tc>
      </w:tr>
      <w:tr>
        <w:tblPrEx>
          <w:tblLayout w:type="fixed"/>
          <w:tblCellMar>
            <w:top w:w="15" w:type="dxa"/>
            <w:left w:w="15" w:type="dxa"/>
            <w:bottom w:w="15" w:type="dxa"/>
            <w:right w:w="15" w:type="dxa"/>
          </w:tblCellMar>
        </w:tblPrEx>
        <w:trPr>
          <w:trHeight w:val="90"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19</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eastAsia="zh-CN"/>
              </w:rPr>
              <w:t>授权</w:t>
            </w:r>
            <w:r>
              <w:rPr>
                <w:rFonts w:hint="default" w:ascii="Times New Roman" w:hAnsi="Times New Roman" w:eastAsia="仿宋_GB2312" w:cs="Times New Roman"/>
                <w:color w:val="000000"/>
                <w:sz w:val="24"/>
                <w:szCs w:val="24"/>
              </w:rPr>
              <w:t>直接监管企业决定监管企业及各级子企业在广州区域内土地资产权益仍属</w:t>
            </w:r>
            <w:r>
              <w:rPr>
                <w:rFonts w:hint="eastAsia" w:ascii="Times New Roman" w:hAnsi="Times New Roman" w:eastAsia="仿宋_GB2312" w:cs="Times New Roman"/>
                <w:color w:val="000000"/>
                <w:sz w:val="24"/>
                <w:szCs w:val="24"/>
                <w:lang w:eastAsia="zh-CN"/>
              </w:rPr>
              <w:t>直接监管企业</w:t>
            </w:r>
            <w:r>
              <w:rPr>
                <w:rFonts w:hint="default" w:ascii="Times New Roman" w:hAnsi="Times New Roman" w:eastAsia="仿宋_GB2312" w:cs="Times New Roman"/>
                <w:color w:val="000000"/>
                <w:sz w:val="24"/>
                <w:szCs w:val="24"/>
              </w:rPr>
              <w:t>控股或实际控制的土地资产处置事项。</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b w:val="0"/>
                <w:bCs w:val="0"/>
                <w:i w:val="0"/>
                <w:color w:val="000000"/>
                <w:kern w:val="0"/>
                <w:sz w:val="24"/>
                <w:szCs w:val="24"/>
                <w:highlight w:val="none"/>
                <w:u w:val="none"/>
                <w:lang w:val="en-US" w:eastAsia="zh-CN" w:bidi="ar-SA"/>
              </w:rPr>
              <w:t>规划发展处</w:t>
            </w:r>
          </w:p>
        </w:tc>
      </w:tr>
      <w:tr>
        <w:tblPrEx>
          <w:tblLayout w:type="fixed"/>
          <w:tblCellMar>
            <w:top w:w="15" w:type="dxa"/>
            <w:left w:w="15" w:type="dxa"/>
            <w:bottom w:w="15" w:type="dxa"/>
            <w:right w:w="15" w:type="dxa"/>
          </w:tblCellMar>
        </w:tblPrEx>
        <w:trPr>
          <w:trHeight w:val="932"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20</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lang w:eastAsia="zh-CN"/>
              </w:rPr>
              <w:t>授权</w:t>
            </w:r>
            <w:r>
              <w:rPr>
                <w:rFonts w:hint="default" w:ascii="Times New Roman" w:hAnsi="Times New Roman" w:eastAsia="仿宋_GB2312" w:cs="Times New Roman"/>
                <w:color w:val="000000"/>
                <w:sz w:val="24"/>
                <w:szCs w:val="24"/>
              </w:rPr>
              <w:t>直接监管企业决定因承租方对物业升级改造投入较大需延长租赁期且租期不超过12年的物业租赁事项。</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b w:val="0"/>
                <w:bCs w:val="0"/>
                <w:i w:val="0"/>
                <w:color w:val="000000"/>
                <w:kern w:val="0"/>
                <w:sz w:val="24"/>
                <w:szCs w:val="24"/>
                <w:highlight w:val="none"/>
                <w:u w:val="none"/>
                <w:lang w:val="en-US" w:eastAsia="zh-CN" w:bidi="ar-SA"/>
              </w:rPr>
              <w:t>规划发展处</w:t>
            </w:r>
          </w:p>
        </w:tc>
      </w:tr>
      <w:tr>
        <w:tblPrEx>
          <w:tblLayout w:type="fixed"/>
          <w:tblCellMar>
            <w:top w:w="15" w:type="dxa"/>
            <w:left w:w="15" w:type="dxa"/>
            <w:bottom w:w="15" w:type="dxa"/>
            <w:right w:w="15" w:type="dxa"/>
          </w:tblCellMar>
        </w:tblPrEx>
        <w:trPr>
          <w:trHeight w:val="1292"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21</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rPr>
              <w:t>授权直接监管企业董事会按照市国资委关于监管企业投资监督管理有关规定批准年度投资计划，报送市国资委</w:t>
            </w:r>
            <w:r>
              <w:rPr>
                <w:rFonts w:hint="default" w:ascii="Times New Roman" w:hAnsi="Times New Roman" w:eastAsia="仿宋_GB2312" w:cs="Times New Roman"/>
                <w:color w:val="000000"/>
                <w:sz w:val="24"/>
                <w:szCs w:val="24"/>
              </w:rPr>
              <w:t>。</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规划发展处</w:t>
            </w:r>
          </w:p>
        </w:tc>
      </w:tr>
      <w:tr>
        <w:tblPrEx>
          <w:tblLayout w:type="fixed"/>
          <w:tblCellMar>
            <w:top w:w="15" w:type="dxa"/>
            <w:left w:w="15" w:type="dxa"/>
            <w:bottom w:w="15" w:type="dxa"/>
            <w:right w:w="15" w:type="dxa"/>
          </w:tblCellMar>
        </w:tblPrEx>
        <w:trPr>
          <w:trHeight w:val="326"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22</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授权</w:t>
            </w:r>
            <w:r>
              <w:rPr>
                <w:rFonts w:hint="default" w:ascii="Times New Roman" w:hAnsi="Times New Roman" w:eastAsia="仿宋_GB2312" w:cs="Times New Roman"/>
                <w:color w:val="000000"/>
                <w:sz w:val="24"/>
              </w:rPr>
              <w:t>直接监管企业</w:t>
            </w:r>
            <w:r>
              <w:rPr>
                <w:rFonts w:hint="eastAsia" w:ascii="仿宋_GB2312" w:hAnsi="仿宋_GB2312" w:eastAsia="仿宋_GB2312" w:cs="仿宋_GB2312"/>
                <w:color w:val="000000"/>
                <w:sz w:val="24"/>
                <w:szCs w:val="24"/>
              </w:rPr>
              <w:t>董事会决定在年度投资计划的投资规模内，将主业范围内的计划外新增投资项目与计划内主业投资项目进行适当调剂。相关投资项目应</w:t>
            </w:r>
            <w:r>
              <w:rPr>
                <w:rFonts w:hint="eastAsia" w:ascii="仿宋_GB2312" w:hAnsi="仿宋_GB2312" w:eastAsia="仿宋_GB2312" w:cs="仿宋_GB2312"/>
                <w:color w:val="000000"/>
                <w:sz w:val="24"/>
                <w:szCs w:val="24"/>
                <w:highlight w:val="none"/>
                <w:lang w:eastAsia="zh-CN"/>
              </w:rPr>
              <w:t>不违反</w:t>
            </w:r>
            <w:r>
              <w:rPr>
                <w:rFonts w:hint="eastAsia" w:ascii="仿宋_GB2312" w:hAnsi="仿宋_GB2312" w:eastAsia="仿宋_GB2312" w:cs="仿宋_GB2312"/>
                <w:color w:val="000000"/>
                <w:sz w:val="24"/>
                <w:szCs w:val="24"/>
              </w:rPr>
              <w:t>负面清单要求。</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规划发展处</w:t>
            </w:r>
          </w:p>
        </w:tc>
      </w:tr>
      <w:tr>
        <w:tblPrEx>
          <w:tblLayout w:type="fixed"/>
          <w:tblCellMar>
            <w:top w:w="15" w:type="dxa"/>
            <w:left w:w="15" w:type="dxa"/>
            <w:bottom w:w="15" w:type="dxa"/>
            <w:right w:w="15" w:type="dxa"/>
          </w:tblCellMar>
        </w:tblPrEx>
        <w:trPr>
          <w:trHeight w:val="568"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23</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授权</w:t>
            </w:r>
            <w:r>
              <w:rPr>
                <w:rFonts w:hint="default" w:ascii="Times New Roman" w:hAnsi="Times New Roman" w:eastAsia="仿宋_GB2312" w:cs="Times New Roman"/>
                <w:color w:val="000000"/>
                <w:sz w:val="24"/>
              </w:rPr>
              <w:t>直接监管企业</w:t>
            </w:r>
            <w:r>
              <w:rPr>
                <w:rFonts w:hint="eastAsia" w:ascii="仿宋_GB2312" w:hAnsi="仿宋_GB2312" w:eastAsia="仿宋_GB2312" w:cs="仿宋_GB2312"/>
                <w:color w:val="000000"/>
                <w:sz w:val="24"/>
                <w:szCs w:val="24"/>
              </w:rPr>
              <w:t>董事会决定主业范围内的计划外新增股权投资项目，总投资规模变动超过10%的，应及时调整年度投资计划并向</w:t>
            </w:r>
            <w:r>
              <w:rPr>
                <w:rFonts w:hint="eastAsia" w:ascii="仿宋_GB2312" w:hAnsi="仿宋_GB2312" w:eastAsia="仿宋_GB2312" w:cs="仿宋_GB2312"/>
                <w:color w:val="000000"/>
                <w:sz w:val="24"/>
                <w:szCs w:val="24"/>
                <w:lang w:eastAsia="zh-CN"/>
              </w:rPr>
              <w:t>市</w:t>
            </w:r>
            <w:r>
              <w:rPr>
                <w:rFonts w:hint="eastAsia" w:ascii="仿宋_GB2312" w:hAnsi="仿宋_GB2312" w:eastAsia="仿宋_GB2312" w:cs="仿宋_GB2312"/>
                <w:color w:val="000000"/>
                <w:sz w:val="24"/>
                <w:szCs w:val="24"/>
              </w:rPr>
              <w:t>国资委报告。相关投资项目</w:t>
            </w:r>
            <w:r>
              <w:rPr>
                <w:rFonts w:hint="eastAsia" w:ascii="仿宋_GB2312" w:hAnsi="仿宋_GB2312" w:eastAsia="仿宋_GB2312" w:cs="仿宋_GB2312"/>
                <w:color w:val="000000"/>
                <w:sz w:val="24"/>
                <w:szCs w:val="24"/>
                <w:lang w:eastAsia="zh-CN"/>
              </w:rPr>
              <w:t>不违反</w:t>
            </w:r>
            <w:r>
              <w:rPr>
                <w:rFonts w:hint="eastAsia" w:ascii="仿宋_GB2312" w:hAnsi="仿宋_GB2312" w:eastAsia="仿宋_GB2312" w:cs="仿宋_GB2312"/>
                <w:color w:val="000000"/>
                <w:sz w:val="24"/>
                <w:szCs w:val="24"/>
              </w:rPr>
              <w:t>负面清单要求。</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规划发展处</w:t>
            </w:r>
          </w:p>
        </w:tc>
      </w:tr>
      <w:tr>
        <w:tblPrEx>
          <w:tblLayout w:type="fixed"/>
          <w:tblCellMar>
            <w:top w:w="15" w:type="dxa"/>
            <w:left w:w="15" w:type="dxa"/>
            <w:bottom w:w="15" w:type="dxa"/>
            <w:right w:w="15" w:type="dxa"/>
          </w:tblCellMar>
        </w:tblPrEx>
        <w:trPr>
          <w:trHeight w:val="568"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24</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授权</w:t>
            </w:r>
            <w:r>
              <w:rPr>
                <w:rFonts w:hint="default" w:ascii="Times New Roman" w:hAnsi="Times New Roman" w:eastAsia="仿宋_GB2312" w:cs="Times New Roman"/>
                <w:color w:val="000000"/>
                <w:sz w:val="24"/>
              </w:rPr>
              <w:t>直接监管企业</w:t>
            </w:r>
            <w:r>
              <w:rPr>
                <w:rFonts w:hint="eastAsia" w:ascii="仿宋_GB2312" w:hAnsi="仿宋_GB2312" w:eastAsia="仿宋_GB2312" w:cs="仿宋_GB2312"/>
                <w:color w:val="000000"/>
                <w:sz w:val="24"/>
                <w:szCs w:val="24"/>
              </w:rPr>
              <w:t>董事会审批企业五年发展战略和规划，向</w:t>
            </w:r>
            <w:r>
              <w:rPr>
                <w:rFonts w:hint="eastAsia" w:ascii="仿宋_GB2312" w:hAnsi="仿宋_GB2312" w:eastAsia="仿宋_GB2312" w:cs="仿宋_GB2312"/>
                <w:color w:val="000000"/>
                <w:sz w:val="24"/>
                <w:szCs w:val="24"/>
                <w:lang w:eastAsia="zh-CN"/>
              </w:rPr>
              <w:t>市</w:t>
            </w:r>
            <w:r>
              <w:rPr>
                <w:rFonts w:hint="eastAsia" w:ascii="仿宋_GB2312" w:hAnsi="仿宋_GB2312" w:eastAsia="仿宋_GB2312" w:cs="仿宋_GB2312"/>
                <w:color w:val="000000"/>
                <w:sz w:val="24"/>
                <w:szCs w:val="24"/>
              </w:rPr>
              <w:t>国资委报告结果。直接监管企业按照国家规划周期、国民经济和社会发展五年规划建议，以及国有经济布局结构调整方向和直接监管企业中长期发展规划要求，组织编制本企业五年发展战略和规划，经董事会批准后实施。</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规划发展处、</w:t>
            </w:r>
          </w:p>
          <w:p>
            <w:pPr>
              <w:spacing w:line="360" w:lineRule="exact"/>
              <w:jc w:val="center"/>
              <w:rPr>
                <w:rFonts w:hint="eastAsia" w:ascii="仿宋_GB2312" w:hAnsi="仿宋_GB2312" w:eastAsia="仿宋_GB2312" w:cs="仿宋_GB2312"/>
                <w:b w:val="0"/>
                <w:bCs w:val="0"/>
                <w:i w:val="0"/>
                <w:color w:val="000000"/>
                <w:kern w:val="0"/>
                <w:sz w:val="24"/>
                <w:szCs w:val="24"/>
                <w:u w:val="none"/>
                <w:lang w:val="en-US" w:eastAsia="zh-CN" w:bidi="ar-SA"/>
              </w:rPr>
            </w:pPr>
            <w:r>
              <w:rPr>
                <w:rFonts w:hint="eastAsia" w:ascii="仿宋_GB2312" w:hAnsi="仿宋_GB2312" w:eastAsia="仿宋_GB2312" w:cs="仿宋_GB2312"/>
                <w:color w:val="000000"/>
                <w:sz w:val="24"/>
                <w:szCs w:val="24"/>
                <w:lang w:eastAsia="zh-CN"/>
              </w:rPr>
              <w:t>企业改革处、</w:t>
            </w:r>
            <w:r>
              <w:rPr>
                <w:rFonts w:hint="eastAsia" w:ascii="仿宋_GB2312" w:hAnsi="仿宋_GB2312" w:eastAsia="仿宋_GB2312" w:cs="仿宋_GB2312"/>
                <w:i w:val="0"/>
                <w:color w:val="000000"/>
                <w:kern w:val="0"/>
                <w:sz w:val="24"/>
                <w:szCs w:val="24"/>
                <w:u w:val="none"/>
                <w:lang w:val="en-US" w:eastAsia="zh-CN" w:bidi="ar-SA"/>
              </w:rPr>
              <w:t>资本运营与收益管理处</w:t>
            </w:r>
          </w:p>
        </w:tc>
      </w:tr>
      <w:tr>
        <w:tblPrEx>
          <w:tblLayout w:type="fixed"/>
          <w:tblCellMar>
            <w:top w:w="15" w:type="dxa"/>
            <w:left w:w="15" w:type="dxa"/>
            <w:bottom w:w="15" w:type="dxa"/>
            <w:right w:w="15" w:type="dxa"/>
          </w:tblCellMar>
        </w:tblPrEx>
        <w:trPr>
          <w:trHeight w:val="568"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25</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授权</w:t>
            </w:r>
            <w:r>
              <w:rPr>
                <w:rFonts w:hint="eastAsia" w:ascii="仿宋_GB2312" w:hAnsi="仿宋_GB2312" w:eastAsia="仿宋_GB2312" w:cs="仿宋_GB2312"/>
                <w:color w:val="000000"/>
                <w:sz w:val="24"/>
                <w:szCs w:val="24"/>
              </w:rPr>
              <w:t>直接监管企业董事会负责企业及其各级子企业重大法律纠纷备案。</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i w:val="0"/>
                <w:color w:val="000000"/>
                <w:kern w:val="0"/>
                <w:sz w:val="24"/>
                <w:szCs w:val="24"/>
                <w:u w:val="none"/>
                <w:lang w:val="en-US" w:eastAsia="zh-CN" w:bidi="ar-SA"/>
              </w:rPr>
              <w:t>政策法规处</w:t>
            </w:r>
          </w:p>
        </w:tc>
      </w:tr>
      <w:tr>
        <w:tblPrEx>
          <w:tblLayout w:type="fixed"/>
          <w:tblCellMar>
            <w:top w:w="15" w:type="dxa"/>
            <w:left w:w="15" w:type="dxa"/>
            <w:bottom w:w="15" w:type="dxa"/>
            <w:right w:w="15" w:type="dxa"/>
          </w:tblCellMar>
        </w:tblPrEx>
        <w:trPr>
          <w:trHeight w:val="512"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6</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授权</w:t>
            </w:r>
            <w:r>
              <w:rPr>
                <w:rFonts w:hint="eastAsia" w:ascii="仿宋_GB2312" w:hAnsi="仿宋_GB2312" w:eastAsia="仿宋_GB2312" w:cs="仿宋_GB2312"/>
                <w:color w:val="000000"/>
                <w:sz w:val="24"/>
                <w:szCs w:val="24"/>
              </w:rPr>
              <w:t>直接监管企业决定企业及其各级子企业涉及中国驰名商标或“老字号”等自主优势品牌的处置方案</w:t>
            </w:r>
            <w:r>
              <w:rPr>
                <w:rFonts w:hint="eastAsia" w:ascii="仿宋_GB2312" w:hAnsi="仿宋_GB2312" w:eastAsia="仿宋_GB2312" w:cs="仿宋_GB2312"/>
                <w:color w:val="000000"/>
                <w:sz w:val="24"/>
                <w:szCs w:val="24"/>
                <w:highlight w:val="none"/>
                <w:lang w:eastAsia="zh-CN"/>
              </w:rPr>
              <w:t>（直接或间接导致失去对</w:t>
            </w:r>
            <w:r>
              <w:rPr>
                <w:rFonts w:hint="eastAsia" w:ascii="仿宋_GB2312" w:hAnsi="仿宋_GB2312" w:eastAsia="仿宋_GB2312" w:cs="仿宋_GB2312"/>
                <w:color w:val="000000"/>
                <w:sz w:val="24"/>
                <w:szCs w:val="24"/>
                <w:highlight w:val="none"/>
              </w:rPr>
              <w:t>中国驰名商标或“老字号”</w:t>
            </w:r>
            <w:r>
              <w:rPr>
                <w:rFonts w:hint="eastAsia" w:ascii="仿宋_GB2312" w:hAnsi="仿宋_GB2312" w:eastAsia="仿宋_GB2312" w:cs="仿宋_GB2312"/>
                <w:color w:val="000000"/>
                <w:sz w:val="24"/>
                <w:szCs w:val="24"/>
                <w:highlight w:val="none"/>
                <w:lang w:eastAsia="zh-CN"/>
              </w:rPr>
              <w:t>控制权的情形除外）</w:t>
            </w:r>
            <w:r>
              <w:rPr>
                <w:rFonts w:hint="eastAsia" w:ascii="仿宋_GB2312" w:hAnsi="仿宋_GB2312" w:eastAsia="仿宋_GB2312" w:cs="仿宋_GB2312"/>
                <w:color w:val="000000"/>
                <w:sz w:val="24"/>
                <w:szCs w:val="24"/>
                <w:highlight w:val="none"/>
              </w:rPr>
              <w:t>。</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产权管理处</w:t>
            </w:r>
          </w:p>
        </w:tc>
      </w:tr>
      <w:tr>
        <w:tblPrEx>
          <w:tblLayout w:type="fixed"/>
          <w:tblCellMar>
            <w:top w:w="15" w:type="dxa"/>
            <w:left w:w="15" w:type="dxa"/>
            <w:bottom w:w="15" w:type="dxa"/>
            <w:right w:w="15" w:type="dxa"/>
          </w:tblCellMar>
        </w:tblPrEx>
        <w:trPr>
          <w:trHeight w:val="90" w:hRule="atLeast"/>
        </w:trPr>
        <w:tc>
          <w:tcPr>
            <w:tcW w:w="9226"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b/>
                <w:color w:val="000000"/>
                <w:sz w:val="28"/>
                <w:szCs w:val="28"/>
                <w:lang w:eastAsia="zh-CN"/>
              </w:rPr>
            </w:pPr>
            <w:r>
              <w:rPr>
                <w:rFonts w:hint="default" w:ascii="Times New Roman" w:hAnsi="Times New Roman" w:eastAsia="仿宋_GB2312" w:cs="Times New Roman"/>
                <w:b/>
                <w:color w:val="000000"/>
                <w:sz w:val="28"/>
                <w:szCs w:val="28"/>
              </w:rPr>
              <w:t>二、对改革试点企业的授权放权事项（“双百企业”等市场化程度较高和法人治理结构健全的企业）</w:t>
            </w:r>
          </w:p>
        </w:tc>
      </w:tr>
      <w:tr>
        <w:tblPrEx>
          <w:tblLayout w:type="fixed"/>
          <w:tblCellMar>
            <w:top w:w="15" w:type="dxa"/>
            <w:left w:w="15" w:type="dxa"/>
            <w:bottom w:w="15" w:type="dxa"/>
            <w:right w:w="15" w:type="dxa"/>
          </w:tblCellMar>
        </w:tblPrEx>
        <w:trPr>
          <w:trHeight w:val="743"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支持“双百企业”全面推行经理层成员任期制和契约化管理；支持鼓励“双百企业”按照“市场化选聘、契约化管理、差异化薪酬、市场化退出”原则，加快建立职业经理人制度，对市场化选聘的职业经理人实行市场化薪酬分配机制，并采取多种方式探索完善中长期激励机制。</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企业领导人员管理处（人事处）、企业改革处、考核分配处</w:t>
            </w:r>
          </w:p>
        </w:tc>
      </w:tr>
      <w:tr>
        <w:tblPrEx>
          <w:tblLayout w:type="fixed"/>
          <w:tblCellMar>
            <w:top w:w="15" w:type="dxa"/>
            <w:left w:w="15" w:type="dxa"/>
            <w:bottom w:w="15" w:type="dxa"/>
            <w:right w:w="15" w:type="dxa"/>
          </w:tblCellMar>
        </w:tblPrEx>
        <w:trPr>
          <w:trHeight w:val="743"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对“双百企业</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实行工资总额预算备案制管理；对行业周期性特征明显、经济效益年度间波动较大或者存在其他特殊情况的“双百企业”，实施工资总额预算周期制管理，周期原则上不超过三年，周期内的工资总额增长应当符合工资与效益联动的要求。</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考核分配处、</w:t>
            </w:r>
          </w:p>
          <w:p>
            <w:pPr>
              <w:spacing w:line="36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企业改革处</w:t>
            </w:r>
          </w:p>
        </w:tc>
      </w:tr>
      <w:tr>
        <w:tblPrEx>
          <w:tblLayout w:type="fixed"/>
          <w:tblCellMar>
            <w:top w:w="15" w:type="dxa"/>
            <w:left w:w="15" w:type="dxa"/>
            <w:bottom w:w="15" w:type="dxa"/>
            <w:right w:w="15" w:type="dxa"/>
          </w:tblCellMar>
        </w:tblPrEx>
        <w:trPr>
          <w:trHeight w:val="307"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双百企业”可以综合运用国有控股上市公司股权激励、国有科技型企业股权和分红激励、国有控股混合所有制企业员工持股等中长期激励政策，不受试点名额限制。实施各种形式股权激励的实际收益水平，不与员工个人薪酬总水平挂钩，不纳入本企业工资总额基数。实施国有控股上市公司股权激励的，可以结合企业改革发展情况合理设置授予业绩条件和有挑战性的行权（解锁）业绩条件。</w:t>
            </w:r>
            <w:r>
              <w:rPr>
                <w:rFonts w:hint="eastAsia" w:ascii="仿宋_GB2312" w:hAnsi="仿宋_GB2312" w:eastAsia="仿宋_GB2312" w:cs="仿宋_GB2312"/>
                <w:color w:val="000000"/>
                <w:sz w:val="24"/>
                <w:szCs w:val="24"/>
                <w:lang w:eastAsia="zh-CN"/>
              </w:rPr>
              <w:t>授权</w:t>
            </w:r>
            <w:r>
              <w:rPr>
                <w:rFonts w:hint="eastAsia" w:ascii="仿宋_GB2312" w:hAnsi="仿宋_GB2312" w:eastAsia="仿宋_GB2312" w:cs="仿宋_GB2312"/>
                <w:color w:val="000000"/>
                <w:sz w:val="24"/>
                <w:szCs w:val="24"/>
              </w:rPr>
              <w:t>非上市“双百企业”结合本企业实际，借鉴国内外成熟有效的中长期激励实践经验，在本企业大胆探索创新，实施不同方式的中长期激励。</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企业改革处、</w:t>
            </w:r>
          </w:p>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考核分配处</w:t>
            </w:r>
          </w:p>
        </w:tc>
      </w:tr>
      <w:tr>
        <w:tblPrEx>
          <w:tblLayout w:type="fixed"/>
          <w:tblCellMar>
            <w:top w:w="15" w:type="dxa"/>
            <w:left w:w="15" w:type="dxa"/>
            <w:bottom w:w="15" w:type="dxa"/>
            <w:right w:w="15" w:type="dxa"/>
          </w:tblCellMar>
        </w:tblPrEx>
        <w:trPr>
          <w:trHeight w:val="743"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属于科研、设计、高新技术企业的“双百企业”本级企业科技人员确因特殊情况需要持有子企业股权的，报经同级国有资产监管机构批准后实施；授权“双百企业”批准其所出资企业的科技人员确因特殊情况需要持有子企业股权，并报市国资委事后备案。</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企业改革处、</w:t>
            </w:r>
          </w:p>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考核分配处</w:t>
            </w:r>
          </w:p>
        </w:tc>
      </w:tr>
      <w:tr>
        <w:tblPrEx>
          <w:tblLayout w:type="fixed"/>
          <w:tblCellMar>
            <w:top w:w="15" w:type="dxa"/>
            <w:left w:w="15" w:type="dxa"/>
            <w:bottom w:w="15" w:type="dxa"/>
            <w:right w:w="15" w:type="dxa"/>
          </w:tblCellMar>
        </w:tblPrEx>
        <w:trPr>
          <w:trHeight w:val="90" w:hRule="atLeast"/>
        </w:trPr>
        <w:tc>
          <w:tcPr>
            <w:tcW w:w="9226"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三、对国有资本投资、运营公司企业的授权放权事项</w:t>
            </w:r>
          </w:p>
        </w:tc>
      </w:tr>
      <w:tr>
        <w:tblPrEx>
          <w:tblLayout w:type="fixed"/>
          <w:tblCellMar>
            <w:top w:w="15" w:type="dxa"/>
            <w:left w:w="15" w:type="dxa"/>
            <w:bottom w:w="15" w:type="dxa"/>
            <w:right w:w="15" w:type="dxa"/>
          </w:tblCellMar>
        </w:tblPrEx>
        <w:trPr>
          <w:trHeight w:val="1036"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授权董事会按照企业发展战略和规划决策适度开展与主业紧密相关的商业模式创新业务，市国资委对其视同主业投资管理。</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规划发展处、</w:t>
            </w:r>
          </w:p>
          <w:p>
            <w:pPr>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color w:val="000000"/>
                <w:kern w:val="0"/>
                <w:sz w:val="24"/>
                <w:szCs w:val="24"/>
                <w:u w:val="none"/>
                <w:lang w:val="en-US" w:eastAsia="zh-CN" w:bidi="ar-SA"/>
              </w:rPr>
              <w:t>资本运营与收益管理处</w:t>
            </w:r>
          </w:p>
        </w:tc>
      </w:tr>
      <w:tr>
        <w:tblPrEx>
          <w:tblLayout w:type="fixed"/>
          <w:tblCellMar>
            <w:top w:w="15" w:type="dxa"/>
            <w:left w:w="15" w:type="dxa"/>
            <w:bottom w:w="15" w:type="dxa"/>
            <w:right w:w="15" w:type="dxa"/>
          </w:tblCellMar>
        </w:tblPrEx>
        <w:trPr>
          <w:trHeight w:val="1715"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授权董事会在已批准的主业范围以外，根据落实国家战略需要、国有经济布局结构调整方向、直接监管企业中长期发展规划、企业五年发展战略和规划，研究提出拟培育发展的1-3个新业务领域，报</w:t>
            </w:r>
            <w:r>
              <w:rPr>
                <w:rFonts w:hint="eastAsia" w:ascii="仿宋_GB2312" w:hAnsi="仿宋_GB2312" w:eastAsia="仿宋_GB2312" w:cs="仿宋_GB2312"/>
                <w:color w:val="000000"/>
                <w:sz w:val="24"/>
                <w:szCs w:val="24"/>
                <w:lang w:eastAsia="zh-CN"/>
              </w:rPr>
              <w:t>市</w:t>
            </w:r>
            <w:r>
              <w:rPr>
                <w:rFonts w:hint="eastAsia" w:ascii="仿宋_GB2312" w:hAnsi="仿宋_GB2312" w:eastAsia="仿宋_GB2312" w:cs="仿宋_GB2312"/>
                <w:color w:val="000000"/>
                <w:sz w:val="24"/>
                <w:szCs w:val="24"/>
              </w:rPr>
              <w:t>国资委同意后，视同主业管理。待发展成熟后，可向市国资委申请将其调整为主业。</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规划发展处、</w:t>
            </w:r>
          </w:p>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SA"/>
              </w:rPr>
              <w:t>资本运营与收益管理处</w:t>
            </w:r>
          </w:p>
        </w:tc>
      </w:tr>
      <w:tr>
        <w:tblPrEx>
          <w:tblLayout w:type="fixed"/>
          <w:tblCellMar>
            <w:top w:w="15" w:type="dxa"/>
            <w:left w:w="15" w:type="dxa"/>
            <w:bottom w:w="15" w:type="dxa"/>
            <w:right w:w="15" w:type="dxa"/>
          </w:tblCellMar>
        </w:tblPrEx>
        <w:trPr>
          <w:trHeight w:val="90"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3</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授权董事会</w:t>
            </w:r>
            <w:r>
              <w:rPr>
                <w:rFonts w:hint="eastAsia" w:ascii="仿宋_GB2312" w:hAnsi="仿宋_GB2312" w:eastAsia="仿宋_GB2312" w:cs="仿宋_GB2312"/>
                <w:color w:val="000000"/>
                <w:sz w:val="24"/>
                <w:szCs w:val="24"/>
                <w:lang w:eastAsia="zh-CN"/>
              </w:rPr>
              <w:t>超过章程非主业限额的投资事项</w:t>
            </w:r>
            <w:r>
              <w:rPr>
                <w:rFonts w:hint="eastAsia" w:ascii="仿宋_GB2312" w:hAnsi="仿宋_GB2312" w:eastAsia="仿宋_GB2312" w:cs="仿宋_GB2312"/>
                <w:color w:val="000000"/>
                <w:sz w:val="24"/>
                <w:szCs w:val="24"/>
              </w:rPr>
              <w:t>报市国资委同意后实施。</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规划发展处、</w:t>
            </w:r>
          </w:p>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SA"/>
              </w:rPr>
              <w:t>资本运营与收益管理处</w:t>
            </w:r>
          </w:p>
        </w:tc>
      </w:tr>
      <w:tr>
        <w:tblPrEx>
          <w:tblLayout w:type="fixed"/>
          <w:tblCellMar>
            <w:top w:w="15" w:type="dxa"/>
            <w:left w:w="15" w:type="dxa"/>
            <w:bottom w:w="15" w:type="dxa"/>
            <w:right w:w="15" w:type="dxa"/>
          </w:tblCellMar>
        </w:tblPrEx>
        <w:trPr>
          <w:trHeight w:val="1239"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4</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授权国有资本投资、运营公司按照国有产权管理规定审批国有资本投资、运营公司之间的非上市企业产权无偿划转、非公开协议转让、非公开协议增资、产权置换等事项。</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产权管理处、</w:t>
            </w:r>
          </w:p>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SA"/>
              </w:rPr>
              <w:t>资本运营与收益管理处</w:t>
            </w:r>
          </w:p>
        </w:tc>
      </w:tr>
      <w:tr>
        <w:tblPrEx>
          <w:tblLayout w:type="fixed"/>
          <w:tblCellMar>
            <w:top w:w="15" w:type="dxa"/>
            <w:left w:w="15" w:type="dxa"/>
            <w:bottom w:w="15" w:type="dxa"/>
            <w:right w:w="15" w:type="dxa"/>
          </w:tblCellMar>
        </w:tblPrEx>
        <w:trPr>
          <w:trHeight w:val="1109"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5</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授权董事会审批所属创业投资企业、创业投资管理企业等新产业、新业态、新商业模式类企业的核心团队持股和跟投事项，有关事项的开展情况按年度报</w:t>
            </w:r>
            <w:r>
              <w:rPr>
                <w:rFonts w:hint="eastAsia" w:ascii="仿宋_GB2312" w:hAnsi="仿宋_GB2312" w:eastAsia="仿宋_GB2312" w:cs="仿宋_GB2312"/>
                <w:color w:val="000000"/>
                <w:sz w:val="24"/>
                <w:szCs w:val="24"/>
                <w:lang w:eastAsia="zh-CN"/>
              </w:rPr>
              <w:t>市</w:t>
            </w:r>
            <w:r>
              <w:rPr>
                <w:rFonts w:hint="eastAsia" w:ascii="仿宋_GB2312" w:hAnsi="仿宋_GB2312" w:eastAsia="仿宋_GB2312" w:cs="仿宋_GB2312"/>
                <w:color w:val="000000"/>
                <w:sz w:val="24"/>
                <w:szCs w:val="24"/>
              </w:rPr>
              <w:t>国资委备案。</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i w:val="0"/>
                <w:color w:val="000000"/>
                <w:kern w:val="0"/>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SA"/>
              </w:rPr>
              <w:t>企业改革处、</w:t>
            </w:r>
          </w:p>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color w:val="000000"/>
                <w:kern w:val="0"/>
                <w:sz w:val="24"/>
                <w:szCs w:val="24"/>
                <w:u w:val="none"/>
                <w:lang w:val="en-US" w:eastAsia="zh-CN" w:bidi="ar-SA"/>
              </w:rPr>
              <w:t>资本运营与收益管理处</w:t>
            </w:r>
          </w:p>
        </w:tc>
      </w:tr>
      <w:tr>
        <w:tblPrEx>
          <w:tblLayout w:type="fixed"/>
          <w:tblCellMar>
            <w:top w:w="15" w:type="dxa"/>
            <w:left w:w="15" w:type="dxa"/>
            <w:bottom w:w="15" w:type="dxa"/>
            <w:right w:w="15" w:type="dxa"/>
          </w:tblCellMar>
        </w:tblPrEx>
        <w:trPr>
          <w:trHeight w:val="1013"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6</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授权直接监管企业探索更加灵活高效的工资总额管理方式</w:t>
            </w:r>
            <w:r>
              <w:rPr>
                <w:rFonts w:hint="eastAsia" w:ascii="仿宋_GB2312" w:hAnsi="仿宋_GB2312" w:eastAsia="仿宋_GB2312" w:cs="仿宋_GB2312"/>
                <w:color w:val="000000"/>
                <w:sz w:val="24"/>
                <w:szCs w:val="24"/>
                <w:lang w:eastAsia="zh-CN"/>
              </w:rPr>
              <w:t>。</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考核分配处、</w:t>
            </w:r>
          </w:p>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资本运营和收益管理处</w:t>
            </w:r>
          </w:p>
        </w:tc>
      </w:tr>
      <w:tr>
        <w:tblPrEx>
          <w:tblLayout w:type="fixed"/>
          <w:tblCellMar>
            <w:top w:w="15" w:type="dxa"/>
            <w:left w:w="15" w:type="dxa"/>
            <w:bottom w:w="15" w:type="dxa"/>
            <w:right w:w="15" w:type="dxa"/>
          </w:tblCellMar>
        </w:tblPrEx>
        <w:trPr>
          <w:trHeight w:val="1630"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宋体" w:eastAsia="仿宋_GB2312" w:cs="仿宋_GB2312"/>
                <w:color w:val="000000"/>
                <w:sz w:val="24"/>
                <w:szCs w:val="24"/>
                <w:lang w:eastAsia="zh-CN"/>
              </w:rPr>
              <w:t>授权国有资本投资、运营公司董事会负责经理层选聘、业绩考核和薪酬管理。</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企业领导人员管理处（人事处）、企业改革处、考核分配处、</w:t>
            </w:r>
            <w:r>
              <w:rPr>
                <w:rFonts w:hint="eastAsia" w:ascii="仿宋_GB2312" w:hAnsi="仿宋_GB2312" w:eastAsia="仿宋_GB2312" w:cs="仿宋_GB2312"/>
                <w:color w:val="000000"/>
                <w:sz w:val="24"/>
                <w:szCs w:val="24"/>
                <w:lang w:eastAsia="zh-CN"/>
              </w:rPr>
              <w:t>资本运营和收益管理处</w:t>
            </w:r>
          </w:p>
        </w:tc>
      </w:tr>
      <w:tr>
        <w:tblPrEx>
          <w:tblLayout w:type="fixed"/>
          <w:tblCellMar>
            <w:top w:w="15" w:type="dxa"/>
            <w:left w:w="15" w:type="dxa"/>
            <w:bottom w:w="15" w:type="dxa"/>
            <w:right w:w="15" w:type="dxa"/>
          </w:tblCellMar>
        </w:tblPrEx>
        <w:trPr>
          <w:trHeight w:val="1157"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宋体" w:eastAsia="仿宋_GB2312" w:cs="仿宋_GB2312"/>
                <w:color w:val="000000"/>
                <w:sz w:val="24"/>
                <w:szCs w:val="24"/>
                <w:lang w:eastAsia="zh-CN"/>
              </w:rPr>
              <w:t>授权国有资本投资、运营公司董事会审批子企业股权激励方案。</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考核分配处、</w:t>
            </w:r>
            <w:r>
              <w:rPr>
                <w:rFonts w:hint="eastAsia" w:ascii="仿宋_GB2312" w:hAnsi="仿宋_GB2312" w:eastAsia="仿宋_GB2312" w:cs="仿宋_GB2312"/>
                <w:b w:val="0"/>
                <w:bCs w:val="0"/>
                <w:i w:val="0"/>
                <w:color w:val="000000"/>
                <w:kern w:val="0"/>
                <w:sz w:val="24"/>
                <w:szCs w:val="24"/>
                <w:highlight w:val="none"/>
                <w:u w:val="none"/>
                <w:lang w:val="en-US" w:eastAsia="zh-CN" w:bidi="ar-SA"/>
              </w:rPr>
              <w:t>企业改革处、</w:t>
            </w:r>
          </w:p>
          <w:p>
            <w:pPr>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资本运营和收益管理处</w:t>
            </w:r>
          </w:p>
        </w:tc>
      </w:tr>
      <w:tr>
        <w:tblPrEx>
          <w:tblLayout w:type="fixed"/>
          <w:tblCellMar>
            <w:top w:w="15" w:type="dxa"/>
            <w:left w:w="15" w:type="dxa"/>
            <w:bottom w:w="15" w:type="dxa"/>
            <w:right w:w="15" w:type="dxa"/>
          </w:tblCellMar>
        </w:tblPrEx>
        <w:trPr>
          <w:trHeight w:val="1630"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授权国有资本投资、运营公司经董事会审议决策，将其根据《企业国有资产交易监督管理办法》等国资监管法律法规、规范性文件享有的部分审批、备案权限下放至其</w:t>
            </w:r>
            <w:r>
              <w:rPr>
                <w:rFonts w:hint="eastAsia" w:ascii="仿宋_GB2312" w:hAnsi="仿宋_GB2312" w:eastAsia="仿宋_GB2312" w:cs="仿宋_GB2312"/>
                <w:color w:val="000000"/>
                <w:sz w:val="24"/>
                <w:szCs w:val="24"/>
                <w:lang w:eastAsia="zh-CN"/>
              </w:rPr>
              <w:t>部分</w:t>
            </w:r>
            <w:r>
              <w:rPr>
                <w:rFonts w:hint="eastAsia" w:ascii="仿宋_GB2312" w:hAnsi="仿宋_GB2312" w:eastAsia="仿宋_GB2312" w:cs="仿宋_GB2312"/>
                <w:color w:val="000000"/>
                <w:sz w:val="24"/>
                <w:szCs w:val="24"/>
              </w:rPr>
              <w:t>全资、控股</w:t>
            </w:r>
            <w:r>
              <w:rPr>
                <w:rFonts w:hint="eastAsia" w:ascii="仿宋_GB2312" w:hAnsi="仿宋_GB2312" w:eastAsia="仿宋_GB2312" w:cs="仿宋_GB2312"/>
                <w:color w:val="000000"/>
                <w:sz w:val="24"/>
                <w:szCs w:val="24"/>
                <w:lang w:eastAsia="zh-CN"/>
              </w:rPr>
              <w:t>子</w:t>
            </w:r>
            <w:r>
              <w:rPr>
                <w:rFonts w:hint="eastAsia" w:ascii="仿宋_GB2312" w:hAnsi="仿宋_GB2312" w:eastAsia="仿宋_GB2312" w:cs="仿宋_GB2312"/>
                <w:color w:val="000000"/>
                <w:sz w:val="24"/>
                <w:szCs w:val="24"/>
              </w:rPr>
              <w:t>企业，并做好监督工作。</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资本运营和收益管理处、</w:t>
            </w:r>
          </w:p>
          <w:p>
            <w:pPr>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产权管理处</w:t>
            </w:r>
          </w:p>
        </w:tc>
      </w:tr>
      <w:tr>
        <w:tblPrEx>
          <w:tblLayout w:type="fixed"/>
          <w:tblCellMar>
            <w:top w:w="15" w:type="dxa"/>
            <w:left w:w="15" w:type="dxa"/>
            <w:bottom w:w="15" w:type="dxa"/>
            <w:right w:w="15" w:type="dxa"/>
          </w:tblCellMar>
        </w:tblPrEx>
        <w:trPr>
          <w:trHeight w:val="711" w:hRule="atLeast"/>
        </w:trPr>
        <w:tc>
          <w:tcPr>
            <w:tcW w:w="9226"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四、对职业经理人试点企业的授权放权事项</w:t>
            </w:r>
          </w:p>
        </w:tc>
      </w:tr>
      <w:tr>
        <w:tblPrEx>
          <w:tblLayout w:type="fixed"/>
          <w:tblCellMar>
            <w:top w:w="15" w:type="dxa"/>
            <w:left w:w="15" w:type="dxa"/>
            <w:bottom w:w="15" w:type="dxa"/>
            <w:right w:w="15" w:type="dxa"/>
          </w:tblCellMar>
        </w:tblPrEx>
        <w:trPr>
          <w:trHeight w:val="1742"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授权职业经理人试点企业按照</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市场化选聘、契约化管理、差异化薪酬、市场化退出</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的原则，采取公开遴选、竞聘上岗、公开招聘、委托推荐等市场化方式选聘职业经理人，合理增加市场化选聘比例，加快建立职业经理人制度。</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企业领导人员管理处（人事处）</w:t>
            </w:r>
          </w:p>
        </w:tc>
      </w:tr>
      <w:tr>
        <w:tblPrEx>
          <w:tblLayout w:type="fixed"/>
          <w:tblCellMar>
            <w:top w:w="15" w:type="dxa"/>
            <w:left w:w="15" w:type="dxa"/>
            <w:bottom w:w="15" w:type="dxa"/>
            <w:right w:w="15" w:type="dxa"/>
          </w:tblCellMar>
        </w:tblPrEx>
        <w:trPr>
          <w:trHeight w:val="1814"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授权职业经理人试点企业董事会根据市属企业负责人薪酬管理有关制度，制定经理层成员薪酬管理办法，决定经理层成员薪酬分配。企业经理层成员薪酬管理办法和薪酬管理重大事项报</w:t>
            </w:r>
            <w:r>
              <w:rPr>
                <w:rFonts w:hint="eastAsia" w:ascii="仿宋_GB2312" w:hAnsi="仿宋_GB2312" w:eastAsia="仿宋_GB2312" w:cs="仿宋_GB2312"/>
                <w:color w:val="000000"/>
                <w:sz w:val="24"/>
                <w:szCs w:val="24"/>
                <w:lang w:eastAsia="zh-CN"/>
              </w:rPr>
              <w:t>市</w:t>
            </w:r>
            <w:r>
              <w:rPr>
                <w:rFonts w:hint="eastAsia" w:ascii="仿宋_GB2312" w:hAnsi="仿宋_GB2312" w:eastAsia="仿宋_GB2312" w:cs="仿宋_GB2312"/>
                <w:color w:val="000000"/>
                <w:sz w:val="24"/>
                <w:szCs w:val="24"/>
              </w:rPr>
              <w:t>国资委备案。</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企业领导人员管理处（人事处）、</w:t>
            </w:r>
          </w:p>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考核分配处</w:t>
            </w:r>
          </w:p>
        </w:tc>
      </w:tr>
      <w:tr>
        <w:tblPrEx>
          <w:tblLayout w:type="fixed"/>
          <w:tblCellMar>
            <w:top w:w="15" w:type="dxa"/>
            <w:left w:w="15" w:type="dxa"/>
            <w:bottom w:w="15" w:type="dxa"/>
            <w:right w:w="15" w:type="dxa"/>
          </w:tblCellMar>
        </w:tblPrEx>
        <w:trPr>
          <w:trHeight w:val="906" w:hRule="atLeast"/>
        </w:trPr>
        <w:tc>
          <w:tcPr>
            <w:tcW w:w="7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授权职业经理人试点企业董事会对副职经理人员进行评价。</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_GB2312" w:eastAsia="仿宋_GB2312" w:cs="仿宋_GB2312"/>
                <w:b w:val="0"/>
                <w:bCs w:val="0"/>
                <w:i w:val="0"/>
                <w:color w:val="000000"/>
                <w:kern w:val="0"/>
                <w:sz w:val="24"/>
                <w:szCs w:val="24"/>
                <w:highlight w:val="none"/>
                <w:u w:val="none"/>
                <w:lang w:val="en-US" w:eastAsia="zh-CN" w:bidi="ar-SA"/>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企业领导人员管理处（人事处）、</w:t>
            </w:r>
          </w:p>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i w:val="0"/>
                <w:color w:val="000000"/>
                <w:kern w:val="0"/>
                <w:sz w:val="24"/>
                <w:szCs w:val="24"/>
                <w:highlight w:val="none"/>
                <w:u w:val="none"/>
                <w:lang w:val="en-US" w:eastAsia="zh-CN" w:bidi="ar-SA"/>
              </w:rPr>
              <w:t>考核分配处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817C0"/>
    <w:rsid w:val="4FDC04E4"/>
    <w:rsid w:val="61981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rFonts w:ascii="Times New Roman" w:hAnsi="Times New Roman" w:eastAsia="Times New Roman" w:cs="Times New Roman"/>
      <w:lang w:val="en-US"/>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2020-12-10T03:06:00Z</dcterms:created>
  <dc:creator>詹丽莎</dc:creator>
  <cp:lastModifiedBy>詹丽莎</cp:lastModifiedBy>
  <dcterms:modified xsi:type="dcterms:W3CDTF">2020-12-10T04:39:13Z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